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7C7BEA">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7C7BEA">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7C7BEA">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7C7BEA">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7C7BEA">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7C7BEA">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7C7BEA">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7C7BEA">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7C7BEA">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7C7BEA">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7C7BEA">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7C7BEA">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7C7BEA">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7C7BEA">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7C7BEA">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7C7BEA">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7C7BEA">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7C7BEA">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7C7BEA">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7C7BEA">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7C7BEA">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7C7BEA">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7C7BEA">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7C7BEA">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7C7BEA">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7C7BEA">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7C7BEA">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7C7BEA">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7C7BEA">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7C7BEA">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7C7BEA">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7C7BEA">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7C7BEA">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7C7BEA">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7C7BEA">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7C7BEA">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7C7BEA">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7C7BEA">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7C7BEA">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7C7BEA">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7C7BEA">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7C7BEA">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7C7BEA">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7C7BEA">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7C7BEA">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7C7BEA">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6E11A2E7">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0CFB325" w:rsidR="00093CA9" w:rsidRDefault="006840CD" w:rsidP="00093CA9">
            <w:r>
              <w:t>De Brauw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6E11A2E7">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6E11A2E7">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2EEB73B3" w:rsidR="00093CA9" w:rsidRDefault="00965F2B" w:rsidP="00093CA9">
            <w:r w:rsidRPr="00965F2B">
              <w:t>Directive 2009/138/EC of the European Parliament and of the Council of 25 November 2009 on the taking-up and pursuit of the business of insurance and reinsurance (“Solvency II")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C65FC7" w14:paraId="17DDB4EF" w14:textId="77777777" w:rsidTr="6E11A2E7">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5C9C9C44" w:rsidR="00093CA9" w:rsidRPr="002E10ED" w:rsidRDefault="002E10ED" w:rsidP="00093CA9">
            <w:pPr>
              <w:rPr>
                <w:lang w:val="fr-FR"/>
              </w:rPr>
            </w:pPr>
            <w:r w:rsidRPr="002E10ED">
              <w:rPr>
                <w:lang w:val="fr-FR"/>
              </w:rPr>
              <w:t>eur-lex.europa.eu/</w:t>
            </w:r>
            <w:proofErr w:type="spellStart"/>
            <w:r w:rsidRPr="002E10ED">
              <w:rPr>
                <w:lang w:val="fr-FR"/>
              </w:rPr>
              <w:t>eli</w:t>
            </w:r>
            <w:proofErr w:type="spellEnd"/>
            <w:r w:rsidRPr="002E10ED">
              <w:rPr>
                <w:lang w:val="fr-FR"/>
              </w:rPr>
              <w:t>/</w:t>
            </w:r>
            <w:proofErr w:type="spellStart"/>
            <w:r w:rsidRPr="002E10ED">
              <w:rPr>
                <w:lang w:val="fr-FR"/>
              </w:rPr>
              <w:t>dir</w:t>
            </w:r>
            <w:proofErr w:type="spellEnd"/>
            <w:r w:rsidRPr="002E10ED">
              <w:rPr>
                <w:lang w:val="fr-FR"/>
              </w:rPr>
              <w:t>/2009/138</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6E11A2E7">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7C98B62" w:rsidR="00093CA9" w:rsidRDefault="00093CA9" w:rsidP="00093CA9"/>
        </w:tc>
      </w:tr>
      <w:tr w:rsidR="00093CA9" w14:paraId="401C58A8" w14:textId="77777777" w:rsidTr="6E11A2E7">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940385F" w:rsidR="00093CA9" w:rsidRDefault="00093CA9" w:rsidP="00093CA9"/>
        </w:tc>
      </w:tr>
      <w:tr w:rsidR="00093CA9" w14:paraId="2CE0B955" w14:textId="77777777" w:rsidTr="6E11A2E7">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5E856CC8" w:rsidR="00093CA9" w:rsidRDefault="00093CA9" w:rsidP="00093CA9"/>
        </w:tc>
      </w:tr>
      <w:tr w:rsidR="00093CA9" w14:paraId="60051751" w14:textId="77777777" w:rsidTr="6E11A2E7">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25D4869" w:rsidR="00093CA9" w:rsidRDefault="00093CA9" w:rsidP="00093CA9"/>
        </w:tc>
      </w:tr>
      <w:tr w:rsidR="00093CA9" w14:paraId="6426E869" w14:textId="77777777" w:rsidTr="6E11A2E7">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FAB2952" w:rsidR="00093CA9" w:rsidRDefault="00AE7467" w:rsidP="00093CA9">
            <w:r>
              <w:t>X</w:t>
            </w:r>
          </w:p>
        </w:tc>
      </w:tr>
      <w:tr w:rsidR="00093CA9" w14:paraId="4C779C87" w14:textId="77777777" w:rsidTr="6E11A2E7">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6E11A2E7">
        <w:trPr>
          <w:trHeight w:val="533"/>
        </w:trPr>
        <w:tc>
          <w:tcPr>
            <w:tcW w:w="1063" w:type="dxa"/>
            <w:vAlign w:val="center"/>
          </w:tcPr>
          <w:p w14:paraId="3C6209F9" w14:textId="77777777" w:rsidR="00093CA9" w:rsidRDefault="00093CA9" w:rsidP="00093CA9"/>
        </w:tc>
        <w:tc>
          <w:tcPr>
            <w:tcW w:w="9169" w:type="dxa"/>
            <w:gridSpan w:val="4"/>
            <w:vAlign w:val="center"/>
          </w:tcPr>
          <w:p w14:paraId="2F0A5815" w14:textId="7BDA3A3A" w:rsidR="00C642B8" w:rsidRDefault="00157816" w:rsidP="00157816">
            <w:r>
              <w:t xml:space="preserve">Solvency II is a regulatory framework established by the European Union to ensure the financial stability and solvency of insurance and reinsurance companies. Adopted in 2009, it aims to protect policyholders by requiring insurers to hold sufficient capital to cover their risks and promoting transparency in the insurance sector. </w:t>
            </w:r>
            <w:r w:rsidR="002E6F4E" w:rsidRPr="002E6F4E">
              <w:t>The directive</w:t>
            </w:r>
            <w:r w:rsidR="00DD5003">
              <w:t xml:space="preserve"> </w:t>
            </w:r>
            <w:r w:rsidR="002E6F4E" w:rsidRPr="002E6F4E">
              <w:t>focuses on three main pillars: quantitative requirements, which include the calculation of the Solvency Capital Requirement (SCR) and Minimum Capital Requirement (MCR); qualitative requirements, which involve governance and risk management standards; and disclosure requirements, which mandate transparency in reporting solvency and financial conditions.</w:t>
            </w:r>
          </w:p>
          <w:p w14:paraId="673520C7" w14:textId="7AD32541" w:rsidR="00696682" w:rsidRDefault="00DD5003" w:rsidP="00157816">
            <w:r>
              <w:t xml:space="preserve">Following the revision adopted by the European Parliament and the Council on 27 November 2024, which must be transposed into national legislation by 29 January 2027, Solvency II now </w:t>
            </w:r>
            <w:r w:rsidR="633855AD">
              <w:t>includes</w:t>
            </w:r>
            <w:r w:rsidR="00696682">
              <w:t xml:space="preserve"> the requirement </w:t>
            </w:r>
            <w:r w:rsidR="00696682" w:rsidRPr="00696682">
              <w:t>to develop specific plans that include quantifiable targets and processes to monitor and address financial risks arising from sustainability factors. These plans should be proportionate to the nature, scale, and complexity of the sustainability risks inherent in the business model of the undertakings. Additionally, the directive mandates the integration of climate change scenario analyses into the own-risk and solvency assessment</w:t>
            </w:r>
            <w:r w:rsidR="00696682">
              <w:t xml:space="preserve"> (ORSA)</w:t>
            </w:r>
            <w:r w:rsidR="00696682" w:rsidRPr="00696682">
              <w:t xml:space="preserve">, requiring undertakings with material exposure to climate risks to evaluate the impact of long-term climate change scenarios on their business. </w:t>
            </w:r>
          </w:p>
          <w:p w14:paraId="18257824" w14:textId="579CBE72" w:rsidR="00C642B8" w:rsidRDefault="005B36B4" w:rsidP="007C40CB">
            <w:r>
              <w:t xml:space="preserve">Until transposition of the Solvency II review into national legislation, the current obligations regarding risk management of climate-related risks stay in place. </w:t>
            </w:r>
            <w:r w:rsidR="007C40CB">
              <w:t>The current framework s</w:t>
            </w:r>
            <w:r w:rsidR="007C40CB" w:rsidRPr="007C40CB">
              <w:t xml:space="preserve">upports the integration of emerging risks, including climate-related </w:t>
            </w:r>
            <w:r w:rsidR="63A7DBC1">
              <w:t>risks</w:t>
            </w:r>
            <w:r w:rsidR="007C40CB" w:rsidRPr="007C40CB">
              <w:t xml:space="preserve">, into insurers' risk management systems. Insurers are encouraged to consider climate risks in their </w:t>
            </w:r>
            <w:r w:rsidR="007C40CB">
              <w:t xml:space="preserve">ORSA </w:t>
            </w:r>
            <w:r w:rsidR="007C40CB" w:rsidRPr="007C40CB">
              <w:t>and investment strategies, ensuring long-term sustainability and resilience against environmental changes.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6E11A2E7">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02E281D" w:rsidR="00093CA9" w:rsidRDefault="001C3C89" w:rsidP="00093CA9">
            <w:r>
              <w:t>X</w:t>
            </w:r>
          </w:p>
        </w:tc>
      </w:tr>
      <w:tr w:rsidR="00093CA9" w14:paraId="3640F334" w14:textId="77777777" w:rsidTr="6E11A2E7">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6E11A2E7">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6E11A2E7">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6E11A2E7">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6E11A2E7">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6E11A2E7">
        <w:trPr>
          <w:trHeight w:val="533"/>
        </w:trPr>
        <w:tc>
          <w:tcPr>
            <w:tcW w:w="1063" w:type="dxa"/>
            <w:vAlign w:val="center"/>
          </w:tcPr>
          <w:p w14:paraId="36DF578D" w14:textId="77777777" w:rsidR="00093CA9" w:rsidRDefault="00093CA9" w:rsidP="00093CA9"/>
        </w:tc>
        <w:tc>
          <w:tcPr>
            <w:tcW w:w="9169" w:type="dxa"/>
            <w:gridSpan w:val="4"/>
            <w:vAlign w:val="center"/>
          </w:tcPr>
          <w:p w14:paraId="3B5C2F04" w14:textId="0310928F" w:rsidR="0037279B" w:rsidRDefault="007C40CB" w:rsidP="0037279B">
            <w:r>
              <w:t xml:space="preserve">Solvency II </w:t>
            </w:r>
            <w:r w:rsidR="0037279B">
              <w:t>is in force. Please refer to Directive (EU) 2025/2 of 27 November 2024, as published on 8 January 2025, for the Solvency II review which is still to be transposed into national law. The deadline for transposition is 27 January 2025.</w:t>
            </w:r>
          </w:p>
          <w:p w14:paraId="312E9D7B" w14:textId="5A847608"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6E11A2E7">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F23C3CD" w:rsidR="00093CA9" w:rsidRPr="00173D7C" w:rsidRDefault="003A36CD" w:rsidP="00093CA9">
            <w:pPr>
              <w:rPr>
                <w:color w:val="000000" w:themeColor="text1"/>
              </w:rPr>
            </w:pPr>
            <w:r>
              <w:rPr>
                <w:color w:val="000000" w:themeColor="text1"/>
              </w:rPr>
              <w:t>2009 (Solvency II review was published on 8 January 2025</w:t>
            </w:r>
            <w:r w:rsidR="002E10ED">
              <w:rPr>
                <w:color w:val="000000" w:themeColor="text1"/>
              </w:rPr>
              <w:t>)</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6E11A2E7">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67A81C8E" w:rsidR="00093CA9" w:rsidRPr="00173D7C" w:rsidRDefault="00C77B50" w:rsidP="00093CA9">
            <w:pPr>
              <w:rPr>
                <w:color w:val="000000" w:themeColor="text1"/>
              </w:rPr>
            </w:pPr>
            <w:r>
              <w:rPr>
                <w:color w:val="000000" w:themeColor="text1"/>
              </w:rPr>
              <w:t>20</w:t>
            </w:r>
            <w:r w:rsidR="00C67B5F">
              <w:rPr>
                <w:color w:val="000000" w:themeColor="text1"/>
              </w:rPr>
              <w:t>10</w:t>
            </w:r>
            <w:r w:rsidR="003A36CD">
              <w:rPr>
                <w:color w:val="000000" w:themeColor="text1"/>
              </w:rPr>
              <w:t xml:space="preserve"> (Solvency II review </w:t>
            </w:r>
            <w:r w:rsidR="00C67B5F">
              <w:rPr>
                <w:color w:val="000000" w:themeColor="text1"/>
              </w:rPr>
              <w:t xml:space="preserve">in force since 2025, with </w:t>
            </w:r>
            <w:r w:rsidR="003A36CD">
              <w:rPr>
                <w:color w:val="000000" w:themeColor="text1"/>
              </w:rPr>
              <w:t>a transposition deadline of 27 January 2027).</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6E11A2E7">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6E11A2E7">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6E11A2E7">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E4056A4" w:rsidR="00093CA9" w:rsidRDefault="0076064B" w:rsidP="00093CA9">
            <w:r>
              <w:t>Directive of the European Parliament and the Council</w:t>
            </w:r>
            <w:r w:rsidR="002E10ED">
              <w:t xml:space="preserve"> of the European Union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2A29A2B" w:rsidR="00093CA9" w:rsidRPr="006B7B0D" w:rsidRDefault="002C0609" w:rsidP="00093CA9">
            <w:r>
              <w:t>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6E11A2E7">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6E11A2E7">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27CD9633" w:rsidR="00093CA9" w:rsidRPr="006B7B0D" w:rsidRDefault="00A7100A"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C0383ED"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F670D46" w:rsidR="00093CA9" w:rsidRPr="006B7B0D" w:rsidRDefault="002C0609" w:rsidP="00093CA9">
            <w:r>
              <w:t>EIOPA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6E11A2E7">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6E11A2E7">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6E11A2E7">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ABEC9E0" w:rsidR="00093CA9" w:rsidRPr="006B7B0D" w:rsidRDefault="00A7100A" w:rsidP="00093CA9">
            <w:r>
              <w:t>X</w:t>
            </w:r>
          </w:p>
        </w:tc>
      </w:tr>
      <w:tr w:rsidR="00093CA9" w:rsidRPr="006B7B0D" w14:paraId="0C248745" w14:textId="77777777" w:rsidTr="6E11A2E7">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AD44B59"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6E11A2E7">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6E11A2E7">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6E11A2E7">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6E11A2E7">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6E11A2E7">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6E11A2E7">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6E11A2E7">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6E11A2E7">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6E11A2E7">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6E11A2E7">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6E11A2E7">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6E11A2E7">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3B4BD1F" w:rsidR="00093CA9" w:rsidRDefault="00D6646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6E11A2E7">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2A10B677" w:rsidR="00093CA9" w:rsidRPr="008017F9" w:rsidRDefault="00BF10BB" w:rsidP="00093CA9">
            <w:pPr>
              <w:keepNext/>
              <w:rPr>
                <w:color w:val="000000" w:themeColor="text1"/>
              </w:rPr>
            </w:pPr>
            <w:r>
              <w:rPr>
                <w:color w:val="000000" w:themeColor="text1"/>
              </w:rPr>
              <w:t xml:space="preserve">The Solvency II review (Directive 2025/2) </w:t>
            </w:r>
            <w:r w:rsidR="00AC310D">
              <w:rPr>
                <w:color w:val="000000" w:themeColor="text1"/>
              </w:rPr>
              <w:t xml:space="preserve">introduces an amendment to </w:t>
            </w:r>
            <w:r w:rsidR="007B1BB0">
              <w:rPr>
                <w:color w:val="000000" w:themeColor="text1"/>
              </w:rPr>
              <w:t>A</w:t>
            </w:r>
            <w:r w:rsidR="00AC310D">
              <w:rPr>
                <w:color w:val="000000" w:themeColor="text1"/>
              </w:rPr>
              <w:t>rticle 31 of Directive 2002/87/EC, which obligated the European Commission to report to the European Parliament and the council to assess the functioning of Directive 2002/87/EC (</w:t>
            </w:r>
            <w:r w:rsidR="00B16042">
              <w:rPr>
                <w:color w:val="000000" w:themeColor="text1"/>
              </w:rPr>
              <w:t xml:space="preserve">FICOD) and </w:t>
            </w:r>
            <w:r w:rsidR="007F4191">
              <w:rPr>
                <w:color w:val="000000" w:themeColor="text1"/>
              </w:rPr>
              <w:t>Solvency II</w:t>
            </w:r>
            <w:r w:rsidR="0036065E">
              <w:rPr>
                <w:color w:val="000000" w:themeColor="text1"/>
              </w:rPr>
              <w:t xml:space="preserve"> in re</w:t>
            </w:r>
            <w:r w:rsidR="00AD72E9">
              <w:rPr>
                <w:color w:val="000000" w:themeColor="text1"/>
              </w:rPr>
              <w:t xml:space="preserve">spect to </w:t>
            </w:r>
            <w:r w:rsidR="007B1BB0">
              <w:rPr>
                <w:color w:val="000000" w:themeColor="text1"/>
              </w:rPr>
              <w:t>several aspects listed in the amended Article.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6324F8"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F169AE" w:rsidRDefault="00107CE2" w:rsidP="00DD3144">
            <w:pPr>
              <w:rPr>
                <w:lang w:val="fr-FR"/>
              </w:rPr>
            </w:pPr>
            <w:r w:rsidRPr="00F169AE">
              <w:rPr>
                <w:lang w:val="fr-FR"/>
              </w:rPr>
              <w:t>Minimum revenue (Enter minimum revenue)</w:t>
            </w:r>
          </w:p>
        </w:tc>
        <w:tc>
          <w:tcPr>
            <w:tcW w:w="4910" w:type="dxa"/>
            <w:gridSpan w:val="7"/>
            <w:vAlign w:val="center"/>
          </w:tcPr>
          <w:p w14:paraId="2518BD70" w14:textId="77777777" w:rsidR="00524D54" w:rsidRPr="00F169AE"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6324F8"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F169AE" w:rsidRDefault="004F276F" w:rsidP="00C37D48">
            <w:pPr>
              <w:rPr>
                <w:rFonts w:ascii="Calibri" w:hAnsi="Calibri" w:cs="Calibri"/>
                <w:lang w:val="fr-FR"/>
              </w:rPr>
            </w:pPr>
            <w:r w:rsidRPr="00F169AE">
              <w:rPr>
                <w:rFonts w:ascii="Calibri" w:hAnsi="Calibri" w:cs="Calibri"/>
                <w:lang w:val="fr-FR"/>
              </w:rPr>
              <w:t>Minimum revenue (Enter minimum revenue)</w:t>
            </w:r>
          </w:p>
        </w:tc>
        <w:tc>
          <w:tcPr>
            <w:tcW w:w="4894" w:type="dxa"/>
            <w:gridSpan w:val="4"/>
            <w:vAlign w:val="center"/>
          </w:tcPr>
          <w:p w14:paraId="6AD40C56" w14:textId="77777777" w:rsidR="004F276F" w:rsidRPr="00F169AE"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324F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169AE" w:rsidRDefault="00C66EE0" w:rsidP="00610F28">
            <w:pPr>
              <w:rPr>
                <w:rFonts w:ascii="Calibri" w:hAnsi="Calibri" w:cs="Calibri"/>
                <w:lang w:val="fr-FR"/>
              </w:rPr>
            </w:pPr>
            <w:r w:rsidRPr="00F169AE">
              <w:rPr>
                <w:rFonts w:ascii="Calibri" w:hAnsi="Calibri" w:cs="Calibri"/>
                <w:lang w:val="fr-FR"/>
              </w:rPr>
              <w:t>Minimum revenue (Enter minimum revenue)</w:t>
            </w:r>
          </w:p>
        </w:tc>
        <w:tc>
          <w:tcPr>
            <w:tcW w:w="5220" w:type="dxa"/>
            <w:gridSpan w:val="3"/>
            <w:vAlign w:val="center"/>
          </w:tcPr>
          <w:p w14:paraId="6BA41E6D" w14:textId="77777777" w:rsidR="00C66EE0" w:rsidRPr="00F169AE"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6324F8"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F169AE" w:rsidRDefault="00092534" w:rsidP="00CF2E7C">
            <w:pPr>
              <w:rPr>
                <w:rFonts w:ascii="Calibri" w:hAnsi="Calibri" w:cs="Calibri"/>
                <w:lang w:val="fr-FR"/>
              </w:rPr>
            </w:pPr>
            <w:r w:rsidRPr="00F169AE">
              <w:rPr>
                <w:rFonts w:ascii="Calibri" w:hAnsi="Calibri" w:cs="Calibri"/>
                <w:lang w:val="fr-FR"/>
              </w:rPr>
              <w:t>Minimum revenue (Enter minimum revenue)</w:t>
            </w:r>
          </w:p>
        </w:tc>
        <w:tc>
          <w:tcPr>
            <w:tcW w:w="4983" w:type="dxa"/>
            <w:gridSpan w:val="5"/>
            <w:vAlign w:val="center"/>
          </w:tcPr>
          <w:p w14:paraId="7AD6A409" w14:textId="77777777" w:rsidR="00092534" w:rsidRPr="00F169AE"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0AB0EC93" w:rsidR="00D4323A" w:rsidRPr="00CF2E7C" w:rsidRDefault="000255B7"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40491903" w:rsidR="00DD292A" w:rsidRPr="00CF2E7C" w:rsidRDefault="000255B7"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4F5163BA" w:rsidR="00DD292A" w:rsidRPr="00CF2E7C" w:rsidRDefault="000255B7"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006BB608" w:rsidR="00DD292A" w:rsidRPr="00CF2E7C" w:rsidRDefault="000255B7"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3F33141E" w:rsidR="00DD292A" w:rsidRPr="00CF2E7C" w:rsidRDefault="000255B7"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25979A1E" w:rsidR="00DD292A" w:rsidRPr="00CF2E7C" w:rsidRDefault="000255B7"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44004053" w:rsidR="00DD292A" w:rsidRPr="00CF2E7C" w:rsidRDefault="000255B7"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6324F8"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0560FF" w:rsidRDefault="00DD292A" w:rsidP="00CF2E7C">
            <w:pPr>
              <w:rPr>
                <w:rFonts w:ascii="Calibri" w:hAnsi="Calibri" w:cs="Calibri"/>
                <w:lang w:val="fr-FR"/>
              </w:rPr>
            </w:pPr>
            <w:r w:rsidRPr="000560FF">
              <w:rPr>
                <w:rFonts w:ascii="Calibri" w:hAnsi="Calibri" w:cs="Calibri"/>
                <w:lang w:val="fr-FR"/>
              </w:rPr>
              <w:t>Minimum revenue (Enter minimum revenue)</w:t>
            </w:r>
          </w:p>
        </w:tc>
        <w:tc>
          <w:tcPr>
            <w:tcW w:w="4993" w:type="dxa"/>
            <w:gridSpan w:val="6"/>
            <w:vAlign w:val="center"/>
          </w:tcPr>
          <w:p w14:paraId="5A15330D" w14:textId="77777777" w:rsidR="00DD292A" w:rsidRPr="000560FF" w:rsidRDefault="00DD292A" w:rsidP="00CF2E7C">
            <w:pPr>
              <w:rPr>
                <w:rFonts w:ascii="Calibri" w:hAnsi="Calibri" w:cs="Calibri"/>
                <w:lang w:val="fr-FR"/>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5C07C01F" w:rsidR="00DD292A" w:rsidRPr="00CF2E7C" w:rsidRDefault="00344A7D" w:rsidP="00CF2E7C">
            <w:pPr>
              <w:rPr>
                <w:rFonts w:ascii="Calibri" w:hAnsi="Calibri" w:cs="Calibri"/>
              </w:rPr>
            </w:pPr>
            <w:r>
              <w:rPr>
                <w:rFonts w:ascii="Calibri" w:hAnsi="Calibri" w:cs="Calibri"/>
              </w:rPr>
              <w:t>Insurance and reinsurance undertakings</w:t>
            </w:r>
            <w:r w:rsidR="00900ACD">
              <w:rPr>
                <w:rFonts w:ascii="Calibri" w:hAnsi="Calibri" w:cs="Calibri"/>
              </w:rPr>
              <w:t>, established in the territory of a Member State or which wish to become established there (Article 2 of Solvency II)</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5B9D12A2" w:rsidR="00DD292A" w:rsidRPr="00CF2E7C" w:rsidRDefault="0032712D"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1B3B0625" w:rsidR="00DD3B33" w:rsidRPr="00CF2E7C" w:rsidRDefault="00132315"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3E6EBC36" w14:textId="77777777" w:rsidR="009852AC" w:rsidRPr="009852AC" w:rsidRDefault="009852AC" w:rsidP="009852AC">
            <w:pPr>
              <w:rPr>
                <w:rFonts w:ascii="Calibri" w:hAnsi="Calibri" w:cs="Calibri"/>
              </w:rPr>
            </w:pPr>
            <w:r w:rsidRPr="009852AC">
              <w:rPr>
                <w:rFonts w:ascii="Calibri" w:hAnsi="Calibri" w:cs="Calibri"/>
              </w:rPr>
              <w:t>Solvency II establishes several frameworks for enforcement measures to ensure compliance and maintain the stability of the insurance and reinsurance sectors. Article 34 of Solvency II outlines the general supervisory powers, granting supervisory authorities the ability to take preventive and corrective actions. These powers include requiring necessary information for supervision, developing quantitative tools, and conducting on-site investigations to ensure adherence to laws, regulations, and administrative provisions.</w:t>
            </w:r>
          </w:p>
          <w:p w14:paraId="6BF4AF82" w14:textId="194E6B62" w:rsidR="000D69EB" w:rsidRPr="00CF2E7C" w:rsidRDefault="009852AC" w:rsidP="009852AC">
            <w:pPr>
              <w:rPr>
                <w:rFonts w:ascii="Calibri" w:hAnsi="Calibri" w:cs="Calibri"/>
              </w:rPr>
            </w:pPr>
            <w:r w:rsidRPr="009852AC">
              <w:rPr>
                <w:rFonts w:ascii="Calibri" w:hAnsi="Calibri" w:cs="Calibri"/>
              </w:rPr>
              <w:t>Furthermore, Article 258 of Solvency II provides a specific framework for enforcement measures related to the prudential requirements set forth in Articles 218 to 246. This provision empowers supervisory authorities to adopt necessary measures to rectify situations where these requirements are not met, or where compliance is achieved but solvency remains at risk. Additionally, Article 258 addresses scenarios where intra-group transactions or risk concentrations pose a threat to the financial position of the relevant undertaking, allowing for appropriate intervention to safeguard financial stability.</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690380A8" w:rsidR="00DD292A" w:rsidRPr="00CF2E7C" w:rsidRDefault="009852AC"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2523ABC4" w14:textId="77777777" w:rsidR="00DD292A" w:rsidRDefault="00784C23" w:rsidP="00CF2E7C">
            <w:pPr>
              <w:rPr>
                <w:rFonts w:ascii="Calibri" w:hAnsi="Calibri" w:cs="Calibri"/>
              </w:rPr>
            </w:pPr>
            <w:r w:rsidRPr="00784C23">
              <w:rPr>
                <w:rFonts w:ascii="Calibri" w:hAnsi="Calibri" w:cs="Calibri"/>
              </w:rPr>
              <w:t>While many provisions of Solvency II have been actively enforced, the recent Solvency II review introduces new requirements related to risk management, specifically addressing climate-related risks. These provisions have not yet been enforced, as the transposition deadline is set for 27 January 2027.</w:t>
            </w:r>
          </w:p>
          <w:p w14:paraId="49E41153" w14:textId="77777777" w:rsidR="005D2DEA" w:rsidRPr="005D2DEA" w:rsidRDefault="005D2DEA" w:rsidP="005D2DEA">
            <w:pPr>
              <w:rPr>
                <w:rFonts w:ascii="Calibri" w:hAnsi="Calibri" w:cs="Calibri"/>
              </w:rPr>
            </w:pPr>
            <w:r w:rsidRPr="005D2DEA">
              <w:rPr>
                <w:rFonts w:ascii="Calibri" w:hAnsi="Calibri" w:cs="Calibri"/>
              </w:rPr>
              <w:lastRenderedPageBreak/>
              <w:t>For example, the revised directive mandates insurance and reinsurance undertakings to incorporate climate change scenario analyses into their risk management processes. This includes assessing material exposure to climate change risks and developing strategies to mitigate potential impacts. However, enforcement of these requirements will only commence once Member States have transposed the directive into national law by the specified deadline.</w:t>
            </w:r>
          </w:p>
          <w:p w14:paraId="7394013F" w14:textId="40040E34" w:rsidR="005D2DEA" w:rsidRPr="005D2DEA" w:rsidRDefault="005D2DEA" w:rsidP="00CF2E7C">
            <w:pPr>
              <w:rPr>
                <w:rFonts w:ascii="Calibri" w:hAnsi="Calibri" w:cs="Calibri"/>
              </w:rPr>
            </w:pPr>
            <w:r w:rsidRPr="005D2DEA">
              <w:rPr>
                <w:rFonts w:ascii="Calibri" w:hAnsi="Calibri" w:cs="Calibri"/>
              </w:rPr>
              <w:t>Until then, supervisory authorities continue to enforce existing Solvency II provisions, such as capital adequacy and governance requirements, to ensure ongoing compliance and stability within the sector.</w:t>
            </w:r>
            <w:r>
              <w:rPr>
                <w:rFonts w:ascii="Calibri" w:hAnsi="Calibri" w:cs="Calibri"/>
              </w:rPr>
              <w:t xml:space="preserve"> </w:t>
            </w:r>
            <w:r w:rsidR="00046F63" w:rsidRPr="00046F63">
              <w:rPr>
                <w:rFonts w:ascii="Calibri" w:hAnsi="Calibri" w:cs="Calibri"/>
              </w:rPr>
              <w:t>Despite the presence of current risk management obligations related to climate-related risks, these provisions have</w:t>
            </w:r>
            <w:r w:rsidR="00046F63">
              <w:rPr>
                <w:rFonts w:ascii="Calibri" w:hAnsi="Calibri" w:cs="Calibri"/>
              </w:rPr>
              <w:t>, to our knowledge,</w:t>
            </w:r>
            <w:r w:rsidR="00046F63" w:rsidRPr="00046F63">
              <w:rPr>
                <w:rFonts w:ascii="Calibri" w:hAnsi="Calibri" w:cs="Calibri"/>
              </w:rPr>
              <w:t xml:space="preserve"> not been actively enforced to date</w:t>
            </w:r>
            <w:r w:rsidR="00046F63">
              <w:rPr>
                <w:rFonts w:ascii="Calibri" w:hAnsi="Calibri" w:cs="Calibri"/>
              </w:rPr>
              <w:t>.</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6A1BE53" w:rsidR="00DD292A" w:rsidRPr="00CF2E7C" w:rsidRDefault="00046F63"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360F6366" w:rsidR="00410853" w:rsidRPr="00CF2E7C" w:rsidRDefault="00046F6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0765139A" w:rsidR="00410853" w:rsidRPr="00CF2E7C" w:rsidRDefault="00046F6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62B48D55" w:rsidR="00F632FB" w:rsidRPr="00CF2E7C" w:rsidRDefault="003B67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2E2DE4AE" w:rsidR="00F632FB" w:rsidRPr="00CF2E7C" w:rsidRDefault="003B67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7BE22838" w:rsidR="00F632FB" w:rsidRPr="00CF2E7C" w:rsidRDefault="003B67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07986187" w:rsidR="00F632FB" w:rsidRPr="00CF2E7C" w:rsidRDefault="003B67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05A596C3" w:rsidR="008C4722" w:rsidRPr="00CF2E7C" w:rsidRDefault="007A76F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C956572" w:rsidR="008C4722" w:rsidRPr="00CF2E7C" w:rsidRDefault="007A76F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4A619F81" w:rsidR="008C4722" w:rsidRPr="00CF2E7C" w:rsidRDefault="007A76F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04382CA" w14:textId="780A8784" w:rsidR="0047264C" w:rsidRDefault="004E2A41" w:rsidP="000959DD">
            <w:pPr>
              <w:textAlignment w:val="baseline"/>
              <w:rPr>
                <w:rFonts w:ascii="Calibri" w:eastAsia="Times New Roman" w:hAnsi="Calibri" w:cs="Calibri"/>
                <w:kern w:val="0"/>
                <w:lang w:eastAsia="en-GB"/>
                <w14:ligatures w14:val="none"/>
              </w:rPr>
            </w:pPr>
            <w:r w:rsidRPr="004E2A41">
              <w:rPr>
                <w:rFonts w:ascii="Calibri" w:eastAsia="Times New Roman" w:hAnsi="Calibri" w:cs="Calibri"/>
                <w:kern w:val="0"/>
                <w:lang w:eastAsia="en-GB"/>
                <w14:ligatures w14:val="none"/>
              </w:rPr>
              <w:t>Article 44(2)</w:t>
            </w:r>
            <w:r w:rsidR="006821D4">
              <w:rPr>
                <w:rFonts w:ascii="Calibri" w:eastAsia="Times New Roman" w:hAnsi="Calibri" w:cs="Calibri"/>
                <w:kern w:val="0"/>
                <w:lang w:eastAsia="en-GB"/>
                <w14:ligatures w14:val="none"/>
              </w:rPr>
              <w:t xml:space="preserve">, as amended in the Solvency II review, </w:t>
            </w:r>
            <w:r w:rsidRPr="004E2A41">
              <w:rPr>
                <w:rFonts w:ascii="Calibri" w:eastAsia="Times New Roman" w:hAnsi="Calibri" w:cs="Calibri"/>
                <w:kern w:val="0"/>
                <w:lang w:eastAsia="en-GB"/>
                <w14:ligatures w14:val="none"/>
              </w:rPr>
              <w:t>outlines the requirements for insurance and reinsurance undertakings</w:t>
            </w:r>
            <w:r>
              <w:rPr>
                <w:rFonts w:ascii="Calibri" w:eastAsia="Times New Roman" w:hAnsi="Calibri" w:cs="Calibri"/>
                <w:kern w:val="0"/>
                <w:lang w:eastAsia="en-GB"/>
                <w14:ligatures w14:val="none"/>
              </w:rPr>
              <w:t xml:space="preserve"> regarding their</w:t>
            </w:r>
            <w:r w:rsidR="00A50878">
              <w:rPr>
                <w:rFonts w:ascii="Calibri" w:eastAsia="Times New Roman" w:hAnsi="Calibri" w:cs="Calibri"/>
                <w:kern w:val="0"/>
                <w:lang w:eastAsia="en-GB"/>
                <w14:ligatures w14:val="none"/>
              </w:rPr>
              <w:t xml:space="preserve"> risk-management system</w:t>
            </w:r>
            <w:r>
              <w:rPr>
                <w:rFonts w:ascii="Calibri" w:eastAsia="Times New Roman" w:hAnsi="Calibri" w:cs="Calibri"/>
                <w:kern w:val="0"/>
                <w:lang w:eastAsia="en-GB"/>
                <w14:ligatures w14:val="none"/>
              </w:rPr>
              <w:t xml:space="preserve">. This system </w:t>
            </w:r>
            <w:r w:rsidR="00A50878">
              <w:rPr>
                <w:rFonts w:ascii="Calibri" w:eastAsia="Times New Roman" w:hAnsi="Calibri" w:cs="Calibri"/>
                <w:kern w:val="0"/>
                <w:lang w:eastAsia="en-GB"/>
                <w14:ligatures w14:val="none"/>
              </w:rPr>
              <w:t xml:space="preserve">shall cover </w:t>
            </w:r>
            <w:r w:rsidR="00B31956" w:rsidRPr="00B31956">
              <w:rPr>
                <w:rFonts w:ascii="Calibri" w:eastAsia="Times New Roman" w:hAnsi="Calibri" w:cs="Calibri"/>
                <w:kern w:val="0"/>
                <w:lang w:eastAsia="en-GB"/>
                <w14:ligatures w14:val="none"/>
              </w:rPr>
              <w:t>the risks to be included</w:t>
            </w:r>
            <w:r w:rsidR="00B31956">
              <w:rPr>
                <w:rFonts w:ascii="Calibri" w:eastAsia="Times New Roman" w:hAnsi="Calibri" w:cs="Calibri"/>
                <w:kern w:val="0"/>
                <w:lang w:eastAsia="en-GB"/>
                <w14:ligatures w14:val="none"/>
              </w:rPr>
              <w:t xml:space="preserve"> </w:t>
            </w:r>
            <w:r w:rsidR="00B31956" w:rsidRPr="00B31956">
              <w:rPr>
                <w:rFonts w:ascii="Calibri" w:eastAsia="Times New Roman" w:hAnsi="Calibri" w:cs="Calibri"/>
                <w:kern w:val="0"/>
                <w:lang w:eastAsia="en-GB"/>
                <w14:ligatures w14:val="none"/>
              </w:rPr>
              <w:t>in the calculation of the Solvency Capital Requirement as set out in Article 101(4) as well as the risks which are not or not fully included in the calculation thereof.</w:t>
            </w:r>
            <w:r w:rsidR="00B31956">
              <w:rPr>
                <w:rFonts w:ascii="Calibri" w:eastAsia="Times New Roman" w:hAnsi="Calibri" w:cs="Calibri"/>
                <w:kern w:val="0"/>
                <w:lang w:eastAsia="en-GB"/>
                <w14:ligatures w14:val="none"/>
              </w:rPr>
              <w:t xml:space="preserve"> The risk-management system shall</w:t>
            </w:r>
            <w:r>
              <w:rPr>
                <w:rFonts w:ascii="Calibri" w:eastAsia="Times New Roman" w:hAnsi="Calibri" w:cs="Calibri"/>
                <w:kern w:val="0"/>
                <w:lang w:eastAsia="en-GB"/>
                <w14:ligatures w14:val="none"/>
              </w:rPr>
              <w:t xml:space="preserve"> also cover the management of sustainability risks. </w:t>
            </w:r>
            <w:r w:rsidR="00416683" w:rsidRPr="00416683">
              <w:rPr>
                <w:rFonts w:ascii="Calibri" w:eastAsia="Times New Roman" w:hAnsi="Calibri" w:cs="Calibri"/>
                <w:kern w:val="0"/>
                <w:lang w:eastAsia="en-GB"/>
                <w14:ligatures w14:val="none"/>
              </w:rPr>
              <w:t>This article mandates that these undertakings consider sustainability risks across short-, medium-, and long-term horizons</w:t>
            </w:r>
            <w:r w:rsidR="00416683">
              <w:rPr>
                <w:rFonts w:ascii="Calibri" w:eastAsia="Times New Roman" w:hAnsi="Calibri" w:cs="Calibri"/>
                <w:kern w:val="0"/>
                <w:lang w:eastAsia="en-GB"/>
                <w14:ligatures w14:val="none"/>
              </w:rPr>
              <w:t xml:space="preserve">. </w:t>
            </w:r>
            <w:r w:rsidR="00197B2B">
              <w:rPr>
                <w:rFonts w:ascii="Calibri" w:eastAsia="Times New Roman" w:hAnsi="Calibri" w:cs="Calibri"/>
                <w:kern w:val="0"/>
                <w:lang w:eastAsia="en-GB"/>
                <w14:ligatures w14:val="none"/>
              </w:rPr>
              <w:t xml:space="preserve">As part of their risk management, the undertakings shall have strategies, policies, processes </w:t>
            </w:r>
            <w:r w:rsidR="000959DD" w:rsidRPr="000959DD">
              <w:rPr>
                <w:rFonts w:ascii="Calibri" w:eastAsia="Times New Roman" w:hAnsi="Calibri" w:cs="Calibri"/>
                <w:kern w:val="0"/>
                <w:lang w:eastAsia="en-GB"/>
                <w14:ligatures w14:val="none"/>
              </w:rPr>
              <w:t xml:space="preserve">and systems for the identification, measurement, management and </w:t>
            </w:r>
            <w:r w:rsidR="000959DD">
              <w:rPr>
                <w:rFonts w:ascii="Calibri" w:eastAsia="Times New Roman" w:hAnsi="Calibri" w:cs="Calibri"/>
                <w:kern w:val="0"/>
                <w:lang w:eastAsia="en-GB"/>
                <w14:ligatures w14:val="none"/>
              </w:rPr>
              <w:t xml:space="preserve"> m</w:t>
            </w:r>
            <w:r w:rsidR="000959DD" w:rsidRPr="000959DD">
              <w:rPr>
                <w:rFonts w:ascii="Calibri" w:eastAsia="Times New Roman" w:hAnsi="Calibri" w:cs="Calibri"/>
                <w:kern w:val="0"/>
                <w:lang w:eastAsia="en-GB"/>
                <w14:ligatures w14:val="none"/>
              </w:rPr>
              <w:t>onitoring of sustainability risks over the short, medium and long term.</w:t>
            </w:r>
          </w:p>
          <w:p w14:paraId="76FCC3BC" w14:textId="5F64FCCF" w:rsidR="005F0176" w:rsidRDefault="00063556" w:rsidP="00517684">
            <w:pPr>
              <w:textAlignment w:val="baseline"/>
              <w:rPr>
                <w:rFonts w:ascii="Calibri" w:eastAsia="Times New Roman" w:hAnsi="Calibri" w:cs="Calibri"/>
                <w:kern w:val="0"/>
                <w:lang w:eastAsia="en-GB"/>
                <w14:ligatures w14:val="none"/>
              </w:rPr>
            </w:pPr>
            <w:r w:rsidRPr="00063556">
              <w:rPr>
                <w:rFonts w:ascii="Calibri" w:eastAsia="Times New Roman" w:hAnsi="Calibri" w:cs="Calibri"/>
                <w:kern w:val="0"/>
                <w:lang w:eastAsia="en-GB"/>
                <w14:ligatures w14:val="none"/>
              </w:rPr>
              <w:t xml:space="preserve">Article 44(2b) of Directive (EU) 2025/2 requires insurance and reinsurance undertakings to develop and monitor specific plans that address financial risks arising from sustainability factors, including climate-related risks. These plans must include quantifiable targets and processes to manage these risks over short, medium, and long-term horizons. </w:t>
            </w:r>
            <w:r>
              <w:rPr>
                <w:rFonts w:ascii="Calibri" w:eastAsia="Times New Roman" w:hAnsi="Calibri" w:cs="Calibri"/>
                <w:kern w:val="0"/>
                <w:lang w:eastAsia="en-GB"/>
                <w14:ligatures w14:val="none"/>
              </w:rPr>
              <w:t>Additionally, t</w:t>
            </w:r>
            <w:r w:rsidRPr="00063556">
              <w:rPr>
                <w:rFonts w:ascii="Calibri" w:eastAsia="Times New Roman" w:hAnsi="Calibri" w:cs="Calibri"/>
                <w:kern w:val="0"/>
                <w:lang w:eastAsia="en-GB"/>
                <w14:ligatures w14:val="none"/>
              </w:rPr>
              <w:t>hese plans must consider the latest reports and measures prescribed by the European Scientific Advisory Board on Climate Change, to ensure alignment with regulatory objectives and legal acts related to sustainability.</w:t>
            </w:r>
            <w:r>
              <w:rPr>
                <w:rFonts w:ascii="Calibri" w:eastAsia="Times New Roman" w:hAnsi="Calibri" w:cs="Calibri"/>
                <w:kern w:val="0"/>
                <w:lang w:eastAsia="en-GB"/>
                <w14:ligatures w14:val="none"/>
              </w:rPr>
              <w:t xml:space="preserve"> </w:t>
            </w:r>
            <w:r w:rsidRPr="00063556">
              <w:rPr>
                <w:rFonts w:ascii="Calibri" w:eastAsia="Times New Roman" w:hAnsi="Calibri" w:cs="Calibri"/>
                <w:kern w:val="0"/>
                <w:lang w:eastAsia="en-GB"/>
                <w14:ligatures w14:val="none"/>
              </w:rPr>
              <w:t>Additionally, EIOPA is tasked with developing draft regulatory technical standards to further specify the minimum standards and methodologies for identifying, measuring, managing, and monitoring sustainability risks, ensuring consistent application across the sector</w:t>
            </w:r>
            <w:r>
              <w:rPr>
                <w:rFonts w:ascii="Calibri" w:eastAsia="Times New Roman" w:hAnsi="Calibri" w:cs="Calibri"/>
                <w:kern w:val="0"/>
                <w:lang w:eastAsia="en-GB"/>
                <w14:ligatures w14:val="none"/>
              </w:rPr>
              <w:t xml:space="preserve"> (Article 44(2c))</w:t>
            </w:r>
            <w:r w:rsidRPr="00063556">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The </w:t>
            </w:r>
            <w:r w:rsidR="007760DF">
              <w:rPr>
                <w:rFonts w:ascii="Calibri" w:eastAsia="Times New Roman" w:hAnsi="Calibri" w:cs="Calibri"/>
                <w:kern w:val="0"/>
                <w:lang w:eastAsia="en-GB"/>
                <w14:ligatures w14:val="none"/>
              </w:rPr>
              <w:t>quantifiable</w:t>
            </w:r>
            <w:r>
              <w:rPr>
                <w:rFonts w:ascii="Calibri" w:eastAsia="Times New Roman" w:hAnsi="Calibri" w:cs="Calibri"/>
                <w:kern w:val="0"/>
                <w:lang w:eastAsia="en-GB"/>
                <w14:ligatures w14:val="none"/>
              </w:rPr>
              <w:t xml:space="preserve"> targets included in these plans shall</w:t>
            </w:r>
            <w:r w:rsidR="007760DF">
              <w:rPr>
                <w:rFonts w:ascii="Calibri" w:eastAsia="Times New Roman" w:hAnsi="Calibri" w:cs="Calibri"/>
                <w:kern w:val="0"/>
                <w:lang w:eastAsia="en-GB"/>
                <w14:ligatures w14:val="none"/>
              </w:rPr>
              <w:t xml:space="preserve"> be disclosed on an annual basis (Article 44(2d)).</w:t>
            </w:r>
          </w:p>
          <w:p w14:paraId="6BC36D79" w14:textId="51283C9A" w:rsidR="005F0176" w:rsidRDefault="007760DF" w:rsidP="005F0176">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Please note that </w:t>
            </w:r>
            <w:r w:rsidR="005F0176" w:rsidRPr="005F0176">
              <w:rPr>
                <w:rFonts w:ascii="Calibri" w:eastAsia="Times New Roman" w:hAnsi="Calibri" w:cs="Calibri"/>
                <w:kern w:val="0"/>
                <w:lang w:eastAsia="en-GB"/>
                <w14:ligatures w14:val="none"/>
              </w:rPr>
              <w:t xml:space="preserve">Article </w:t>
            </w:r>
            <w:r w:rsidR="005F0176">
              <w:rPr>
                <w:rFonts w:ascii="Calibri" w:eastAsia="Times New Roman" w:hAnsi="Calibri" w:cs="Calibri"/>
                <w:kern w:val="0"/>
                <w:lang w:eastAsia="en-GB"/>
                <w14:ligatures w14:val="none"/>
              </w:rPr>
              <w:t>44(</w:t>
            </w:r>
            <w:r w:rsidR="005F0176" w:rsidRPr="005F0176">
              <w:rPr>
                <w:rFonts w:ascii="Calibri" w:eastAsia="Times New Roman" w:hAnsi="Calibri" w:cs="Calibri"/>
                <w:kern w:val="0"/>
                <w:lang w:eastAsia="en-GB"/>
                <w14:ligatures w14:val="none"/>
              </w:rPr>
              <w:t>2e</w:t>
            </w:r>
            <w:r w:rsidR="005F0176">
              <w:rPr>
                <w:rFonts w:ascii="Calibri" w:eastAsia="Times New Roman" w:hAnsi="Calibri" w:cs="Calibri"/>
                <w:kern w:val="0"/>
                <w:lang w:eastAsia="en-GB"/>
                <w14:ligatures w14:val="none"/>
              </w:rPr>
              <w:t>)</w:t>
            </w:r>
            <w:r w:rsidR="005F0176" w:rsidRPr="005F0176">
              <w:rPr>
                <w:rFonts w:ascii="Calibri" w:eastAsia="Times New Roman" w:hAnsi="Calibri" w:cs="Calibri"/>
                <w:kern w:val="0"/>
                <w:lang w:eastAsia="en-GB"/>
                <w14:ligatures w14:val="none"/>
              </w:rPr>
              <w:t xml:space="preserve"> states that if a Union-based insurance or reinsurance group is required to create a plan at the group level under paragraph 2b, Member States must ensure that its subsidiaries, covered by group supervision per Article 213(2), are exempt from creating </w:t>
            </w:r>
            <w:r w:rsidR="005F0176" w:rsidRPr="005F0176">
              <w:rPr>
                <w:rFonts w:ascii="Calibri" w:eastAsia="Times New Roman" w:hAnsi="Calibri" w:cs="Calibri"/>
                <w:kern w:val="0"/>
                <w:lang w:eastAsia="en-GB"/>
                <w14:ligatures w14:val="none"/>
              </w:rPr>
              <w:lastRenderedPageBreak/>
              <w:t>individual plans. This provision simplifies planning by allowing subsidiaries to rely on the group-level plan.</w:t>
            </w:r>
          </w:p>
          <w:p w14:paraId="17BA8C8E" w14:textId="7653BC85" w:rsidR="00813E7D" w:rsidRPr="00517684" w:rsidRDefault="00813E7D" w:rsidP="00813E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Further,</w:t>
            </w:r>
            <w:r w:rsidRPr="00517684">
              <w:rPr>
                <w:rFonts w:ascii="Calibri" w:eastAsia="Times New Roman" w:hAnsi="Calibri" w:cs="Calibri"/>
                <w:kern w:val="0"/>
                <w:lang w:eastAsia="en-GB"/>
                <w14:ligatures w14:val="none"/>
              </w:rPr>
              <w:t xml:space="preserve"> Article 45a mandates insurance and reinsurance undertakings to assess their material exposure to climate change risks. This involves specifying long-term climate change scenarios, including those where global temperature increases remain below or exceed two degrees Celsius. Undertakings are required to analy</w:t>
            </w:r>
            <w:r>
              <w:rPr>
                <w:rFonts w:ascii="Calibri" w:eastAsia="Times New Roman" w:hAnsi="Calibri" w:cs="Calibri"/>
                <w:kern w:val="0"/>
                <w:lang w:eastAsia="en-GB"/>
                <w14:ligatures w14:val="none"/>
              </w:rPr>
              <w:t>s</w:t>
            </w:r>
            <w:r w:rsidRPr="00517684">
              <w:rPr>
                <w:rFonts w:ascii="Calibri" w:eastAsia="Times New Roman" w:hAnsi="Calibri" w:cs="Calibri"/>
                <w:kern w:val="0"/>
                <w:lang w:eastAsia="en-GB"/>
                <w14:ligatures w14:val="none"/>
              </w:rPr>
              <w:t xml:space="preserve">e the impact of these scenarios on their business at regular intervals, </w:t>
            </w:r>
            <w:r>
              <w:rPr>
                <w:rFonts w:ascii="Calibri" w:eastAsia="Times New Roman" w:hAnsi="Calibri" w:cs="Calibri"/>
                <w:kern w:val="0"/>
                <w:lang w:eastAsia="en-GB"/>
                <w14:ligatures w14:val="none"/>
              </w:rPr>
              <w:t>to ensure</w:t>
            </w:r>
            <w:r w:rsidRPr="00517684">
              <w:rPr>
                <w:rFonts w:ascii="Calibri" w:eastAsia="Times New Roman" w:hAnsi="Calibri" w:cs="Calibri"/>
                <w:kern w:val="0"/>
                <w:lang w:eastAsia="en-GB"/>
                <w14:ligatures w14:val="none"/>
              </w:rPr>
              <w:t xml:space="preserve"> that climate-related risks are systematically evaluated and incorporated into </w:t>
            </w:r>
            <w:r>
              <w:rPr>
                <w:rFonts w:ascii="Calibri" w:eastAsia="Times New Roman" w:hAnsi="Calibri" w:cs="Calibri"/>
                <w:kern w:val="0"/>
                <w:lang w:eastAsia="en-GB"/>
                <w14:ligatures w14:val="none"/>
              </w:rPr>
              <w:t>the</w:t>
            </w:r>
            <w:r w:rsidRPr="00517684">
              <w:rPr>
                <w:rFonts w:ascii="Calibri" w:eastAsia="Times New Roman" w:hAnsi="Calibri" w:cs="Calibri"/>
                <w:kern w:val="0"/>
                <w:lang w:eastAsia="en-GB"/>
                <w14:ligatures w14:val="none"/>
              </w:rPr>
              <w:t xml:space="preserve"> risk management strategies.</w:t>
            </w:r>
          </w:p>
          <w:p w14:paraId="67C33A63" w14:textId="56A2959D" w:rsidR="00D6336C" w:rsidRPr="00517684" w:rsidRDefault="0080196E" w:rsidP="00FC101E">
            <w:pPr>
              <w:rPr>
                <w:rFonts w:ascii="Calibri" w:eastAsia="Times New Roman" w:hAnsi="Calibri" w:cs="Calibri"/>
                <w:kern w:val="0"/>
                <w:lang w:eastAsia="en-GB"/>
                <w14:ligatures w14:val="none"/>
              </w:rPr>
            </w:pPr>
            <w:r w:rsidRPr="0080196E">
              <w:rPr>
                <w:rFonts w:ascii="Calibri" w:eastAsia="Times New Roman" w:hAnsi="Calibri" w:cs="Calibri"/>
                <w:kern w:val="0"/>
                <w:lang w:eastAsia="en-GB"/>
                <w14:ligatures w14:val="none"/>
              </w:rPr>
              <w:t>Article 51 has been amended to require insurance and reinsurance undertakings to include in their annual Solvency and Financial Condition Report (SFCR) an indication of whether they have any material exposure to climate change risks, as determined by the materiality assessment outlined in Article 45a(1). Additionally, where applicable, the report must detail any actions the undertaking has implemented to address these risks.</w:t>
            </w:r>
          </w:p>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20EDA42" w:rsidR="008C4722" w:rsidRPr="00CF2E7C" w:rsidRDefault="005F6A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55BEB6BB" w:rsidR="007B7DEE" w:rsidRPr="00CF2E7C" w:rsidRDefault="007F62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20C45E1E" w:rsidR="00ED7E12" w:rsidRPr="00CF2E7C" w:rsidRDefault="004334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4A2839DD" w:rsidR="00ED7E12" w:rsidRPr="00CF2E7C" w:rsidRDefault="004334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C061B34" w14:textId="019EF4F6" w:rsidR="00ED7E12" w:rsidRDefault="00433446" w:rsidP="00CF2E7C">
            <w:pPr>
              <w:textAlignment w:val="baseline"/>
              <w:rPr>
                <w:rFonts w:ascii="Calibri" w:eastAsia="Times New Roman" w:hAnsi="Calibri" w:cs="Calibri"/>
                <w:kern w:val="0"/>
                <w:lang w:eastAsia="en-GB"/>
                <w14:ligatures w14:val="none"/>
              </w:rPr>
            </w:pPr>
            <w:r w:rsidRPr="00433446">
              <w:rPr>
                <w:rFonts w:ascii="Calibri" w:eastAsia="Times New Roman" w:hAnsi="Calibri" w:cs="Calibri"/>
                <w:kern w:val="0"/>
                <w:lang w:eastAsia="en-GB"/>
                <w14:ligatures w14:val="none"/>
              </w:rPr>
              <w:t xml:space="preserve">Insurance and reinsurance undertakings are required to submit regular reports, such as the Solvency and Financial Condition Report (SFCR), which includes information on their risk management practices and exposure to climate-related risks. This self-reporting mechanism </w:t>
            </w:r>
            <w:r>
              <w:rPr>
                <w:rFonts w:ascii="Calibri" w:eastAsia="Times New Roman" w:hAnsi="Calibri" w:cs="Calibri"/>
                <w:kern w:val="0"/>
                <w:lang w:eastAsia="en-GB"/>
                <w14:ligatures w14:val="none"/>
              </w:rPr>
              <w:t>aims to ensure</w:t>
            </w:r>
            <w:r w:rsidRPr="00433446">
              <w:rPr>
                <w:rFonts w:ascii="Calibri" w:eastAsia="Times New Roman" w:hAnsi="Calibri" w:cs="Calibri"/>
                <w:kern w:val="0"/>
                <w:lang w:eastAsia="en-GB"/>
                <w14:ligatures w14:val="none"/>
              </w:rPr>
              <w:t xml:space="preserve"> that entities disclose relevant information to </w:t>
            </w:r>
            <w:r>
              <w:rPr>
                <w:rFonts w:ascii="Calibri" w:eastAsia="Times New Roman" w:hAnsi="Calibri" w:cs="Calibri"/>
                <w:kern w:val="0"/>
                <w:lang w:eastAsia="en-GB"/>
                <w14:ligatures w14:val="none"/>
              </w:rPr>
              <w:t xml:space="preserve">their policy holders and </w:t>
            </w:r>
            <w:r w:rsidRPr="00433446">
              <w:rPr>
                <w:rFonts w:ascii="Calibri" w:eastAsia="Times New Roman" w:hAnsi="Calibri" w:cs="Calibri"/>
                <w:kern w:val="0"/>
                <w:lang w:eastAsia="en-GB"/>
                <w14:ligatures w14:val="none"/>
              </w:rPr>
              <w:t>supervisory authorities.</w:t>
            </w:r>
          </w:p>
          <w:p w14:paraId="0C7DBEDF" w14:textId="0136E79E" w:rsidR="00433446" w:rsidRDefault="004334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Additionally, compliance with Solvency II, as implemented in national law, </w:t>
            </w:r>
            <w:r w:rsidR="00EF086E">
              <w:rPr>
                <w:rFonts w:ascii="Calibri" w:eastAsia="Times New Roman" w:hAnsi="Calibri" w:cs="Calibri"/>
                <w:kern w:val="0"/>
                <w:lang w:eastAsia="en-GB"/>
                <w14:ligatures w14:val="none"/>
              </w:rPr>
              <w:t>is monitored by the national competent authorities pursuant to their general supervisory powers.</w:t>
            </w:r>
          </w:p>
          <w:p w14:paraId="42FF8A1B" w14:textId="2C368594" w:rsidR="00433446" w:rsidRPr="00CF2E7C" w:rsidRDefault="00433446"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39FF024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0706164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0033C">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2325030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63F94">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3B1E99C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72C54">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115F65D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0415B">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0A3C9B6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13D3201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0415B">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04379B5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0415B">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644F829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0415B">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0FD052BE" w14:textId="2CE8A653" w:rsidR="00BC3C41" w:rsidRDefault="00BC3C41" w:rsidP="00BC3C41">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As discussed above, </w:t>
            </w:r>
            <w:r w:rsidRPr="00063556">
              <w:rPr>
                <w:rFonts w:ascii="Calibri" w:eastAsia="Times New Roman" w:hAnsi="Calibri" w:cs="Calibri"/>
                <w:kern w:val="0"/>
                <w:lang w:eastAsia="en-GB"/>
                <w14:ligatures w14:val="none"/>
              </w:rPr>
              <w:t xml:space="preserve">Article 44(2b) of Directive (EU) 2025/2 requires insurance and reinsurance undertakings to develop and monitor specific plans that address financial risks arising from sustainability factors, including climate-related risks. These plans must include quantifiable targets and processes to manage these risks over short, medium, and long-term horizons. </w:t>
            </w:r>
            <w:r>
              <w:rPr>
                <w:rFonts w:ascii="Calibri" w:eastAsia="Times New Roman" w:hAnsi="Calibri" w:cs="Calibri"/>
                <w:kern w:val="0"/>
                <w:lang w:eastAsia="en-GB"/>
                <w14:ligatures w14:val="none"/>
              </w:rPr>
              <w:t>Additionally, t</w:t>
            </w:r>
            <w:r w:rsidRPr="00063556">
              <w:rPr>
                <w:rFonts w:ascii="Calibri" w:eastAsia="Times New Roman" w:hAnsi="Calibri" w:cs="Calibri"/>
                <w:kern w:val="0"/>
                <w:lang w:eastAsia="en-GB"/>
                <w14:ligatures w14:val="none"/>
              </w:rPr>
              <w:t>hese plans must consider the latest reports and measures prescribed by the European Scientific Advisory Board on Climate Change, to ensure alignment with regulatory objectives and legal acts related to sustainability.</w:t>
            </w:r>
            <w:r>
              <w:rPr>
                <w:rFonts w:ascii="Calibri" w:eastAsia="Times New Roman" w:hAnsi="Calibri" w:cs="Calibri"/>
                <w:kern w:val="0"/>
                <w:lang w:eastAsia="en-GB"/>
                <w14:ligatures w14:val="none"/>
              </w:rPr>
              <w:t xml:space="preserve"> </w:t>
            </w:r>
            <w:r w:rsidRPr="00063556">
              <w:rPr>
                <w:rFonts w:ascii="Calibri" w:eastAsia="Times New Roman" w:hAnsi="Calibri" w:cs="Calibri"/>
                <w:kern w:val="0"/>
                <w:lang w:eastAsia="en-GB"/>
                <w14:ligatures w14:val="none"/>
              </w:rPr>
              <w:t>Additionally, EIOPA is tasked with developing draft regulatory technical standards to further specify the minimum standards and methodologies for identifying, measuring, managing, and monitoring sustainability risks, ensuring consistent application across the sector</w:t>
            </w:r>
            <w:r>
              <w:rPr>
                <w:rFonts w:ascii="Calibri" w:eastAsia="Times New Roman" w:hAnsi="Calibri" w:cs="Calibri"/>
                <w:kern w:val="0"/>
                <w:lang w:eastAsia="en-GB"/>
                <w14:ligatures w14:val="none"/>
              </w:rPr>
              <w:t xml:space="preserve"> (Article 44(2c))</w:t>
            </w:r>
            <w:r w:rsidRPr="00063556">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The quantifiable targets included in these plans shall be disclosed on an annual basis (Article 44(2d)).</w:t>
            </w:r>
          </w:p>
          <w:p w14:paraId="27E9CD14" w14:textId="646C798A" w:rsidR="00E36ADE" w:rsidRPr="00BC3C41" w:rsidRDefault="00E36ADE" w:rsidP="00DE2942">
            <w:pPr>
              <w:rPr>
                <w:rFonts w:ascii="Calibri" w:eastAsia="Times New Roman" w:hAnsi="Calibri" w:cs="Calibri"/>
                <w:kern w:val="0"/>
                <w:lang w:eastAsia="en-GB"/>
                <w14:ligatures w14:val="none"/>
              </w:rPr>
            </w:pPr>
            <w:r w:rsidRPr="00E36ADE">
              <w:rPr>
                <w:rFonts w:ascii="Calibri" w:eastAsia="Times New Roman" w:hAnsi="Calibri" w:cs="Calibri"/>
                <w:kern w:val="0"/>
                <w:lang w:eastAsia="en-GB"/>
                <w14:ligatures w14:val="none"/>
              </w:rPr>
              <w:t xml:space="preserve">The plan described in Article 44(2b) </w:t>
            </w:r>
            <w:r w:rsidR="00E2541A">
              <w:rPr>
                <w:rFonts w:ascii="Calibri" w:eastAsia="Times New Roman" w:hAnsi="Calibri" w:cs="Calibri"/>
                <w:kern w:val="0"/>
                <w:lang w:eastAsia="en-GB"/>
                <w14:ligatures w14:val="none"/>
              </w:rPr>
              <w:t xml:space="preserve">includes the obligation to develop and monitor the implementation of specific plans that include quantifiable targets and processes to monitor and address the financial risks arising in the short, medium, and long term </w:t>
            </w:r>
            <w:r w:rsidR="00C65FC7">
              <w:rPr>
                <w:rFonts w:ascii="Calibri" w:eastAsia="Times New Roman" w:hAnsi="Calibri" w:cs="Calibri"/>
                <w:kern w:val="0"/>
                <w:lang w:eastAsia="en-GB"/>
                <w14:ligatures w14:val="none"/>
              </w:rPr>
              <w:t>from</w:t>
            </w:r>
            <w:r w:rsidR="00E2541A">
              <w:rPr>
                <w:rFonts w:ascii="Calibri" w:eastAsia="Times New Roman" w:hAnsi="Calibri" w:cs="Calibri"/>
                <w:kern w:val="0"/>
                <w:lang w:eastAsia="en-GB"/>
                <w14:ligatures w14:val="none"/>
              </w:rPr>
              <w:t xml:space="preserve"> sustainability factors. </w:t>
            </w:r>
            <w:r w:rsidR="00DE2942" w:rsidRPr="00DE2942">
              <w:rPr>
                <w:rFonts w:ascii="Calibri" w:eastAsia="Times New Roman" w:hAnsi="Calibri" w:cs="Calibri"/>
                <w:kern w:val="0"/>
                <w:lang w:eastAsia="en-GB"/>
                <w14:ligatures w14:val="none"/>
              </w:rPr>
              <w:t>The targets, processes and actions to address the sustainability risks included in the plans shall be proportionate to the nature, scale, and complexity of the sustainability risks of the business model of the insurance and reinsurance undertakings, in accordance with Article 29(3)</w:t>
            </w:r>
            <w:r w:rsidR="00DE2942" w:rsidRPr="00BC3C41">
              <w:rPr>
                <w:rFonts w:ascii="Calibri" w:eastAsia="Times New Roman" w:hAnsi="Calibri" w:cs="Calibri"/>
                <w:kern w:val="0"/>
                <w:lang w:eastAsia="en-GB"/>
                <w14:ligatures w14:val="none"/>
              </w:rPr>
              <w:t xml:space="preserve"> </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192687A9" w:rsidR="00C82860" w:rsidRPr="00CF2E7C" w:rsidRDefault="00954B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77950064" w:rsidR="00C82860" w:rsidRPr="00CF2E7C" w:rsidRDefault="003620CE" w:rsidP="003620CE">
            <w:pPr>
              <w:rPr>
                <w:rFonts w:ascii="Calibri" w:eastAsia="Times New Roman" w:hAnsi="Calibri" w:cs="Calibri"/>
                <w:kern w:val="0"/>
                <w:lang w:eastAsia="en-GB"/>
                <w14:ligatures w14:val="none"/>
              </w:rPr>
            </w:pPr>
            <w:r w:rsidRPr="003620CE">
              <w:rPr>
                <w:rFonts w:ascii="Calibri" w:eastAsia="Times New Roman" w:hAnsi="Calibri" w:cs="Calibri"/>
                <w:kern w:val="0"/>
                <w:lang w:eastAsia="en-GB"/>
                <w14:ligatures w14:val="none"/>
              </w:rPr>
              <w:t xml:space="preserve">Article 51 of the </w:t>
            </w:r>
            <w:r w:rsidR="00DE2942">
              <w:rPr>
                <w:rFonts w:ascii="Calibri" w:eastAsia="Times New Roman" w:hAnsi="Calibri" w:cs="Calibri"/>
                <w:kern w:val="0"/>
                <w:lang w:eastAsia="en-GB"/>
                <w14:ligatures w14:val="none"/>
              </w:rPr>
              <w:t>D</w:t>
            </w:r>
            <w:r w:rsidRPr="003620CE">
              <w:rPr>
                <w:rFonts w:ascii="Calibri" w:eastAsia="Times New Roman" w:hAnsi="Calibri" w:cs="Calibri"/>
                <w:kern w:val="0"/>
                <w:lang w:eastAsia="en-GB"/>
                <w14:ligatures w14:val="none"/>
              </w:rPr>
              <w:t xml:space="preserve">irective requires undertakings to include in their annual Solvency and Financial Condition Report (SFCR) an indication of whether they have any material exposure to climate change risks, as determined by the materiality assessment outlined in Article 45a(1). Additionally, where applicable, the report must detail any actions the undertaking has implemented to address these risks. This ensures that stakeholders are informed about the </w:t>
            </w:r>
            <w:r>
              <w:rPr>
                <w:rFonts w:ascii="Calibri" w:eastAsia="Times New Roman" w:hAnsi="Calibri" w:cs="Calibri"/>
                <w:kern w:val="0"/>
                <w:lang w:eastAsia="en-GB"/>
                <w14:ligatures w14:val="none"/>
              </w:rPr>
              <w:t>undertaking's</w:t>
            </w:r>
            <w:r w:rsidRPr="003620CE">
              <w:rPr>
                <w:rFonts w:ascii="Calibri" w:eastAsia="Times New Roman" w:hAnsi="Calibri" w:cs="Calibri"/>
                <w:kern w:val="0"/>
                <w:lang w:eastAsia="en-GB"/>
                <w14:ligatures w14:val="none"/>
              </w:rPr>
              <w:t xml:space="preserve"> approach to managing climate-related risks.</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2170ECC5" w:rsidR="00C82860" w:rsidRPr="00CF2E7C" w:rsidRDefault="00E24A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2633C79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C1274">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B7DF0F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C1274">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1991CAD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C1274">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091E3EF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C1274">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686171E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C1274">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60102165" w:rsidR="00655FF7" w:rsidRPr="00CF2E7C" w:rsidRDefault="00D377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401F29C4" w:rsidR="003032A9" w:rsidRPr="00CF2E7C" w:rsidRDefault="0071072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3F12D549" w:rsidR="003D5104" w:rsidRPr="00CF2E7C" w:rsidRDefault="0094452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308CF685" w:rsidR="003D5104" w:rsidRPr="00CF2E7C" w:rsidRDefault="000729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1AC4AD9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21F04CF2" w:rsidR="00BE1F9E" w:rsidRPr="00CF2E7C" w:rsidRDefault="000263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5313AA3" w14:textId="65B7FBAA" w:rsidR="00BE1F9E" w:rsidRDefault="009A47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process of selecting scenarios</w:t>
            </w:r>
            <w:r w:rsidRPr="009A47DA">
              <w:rPr>
                <w:rFonts w:ascii="Calibri" w:eastAsia="Times New Roman" w:hAnsi="Calibri" w:cs="Calibri"/>
                <w:kern w:val="0"/>
                <w:lang w:eastAsia="en-GB"/>
                <w14:ligatures w14:val="none"/>
              </w:rPr>
              <w:t xml:space="preserve"> is primarily guided by Article 45a, which mandates entities to evaluate their material exposure to climate change risks. Undertakings are required to specify long-term climate change scenarios, </w:t>
            </w:r>
            <w:r>
              <w:rPr>
                <w:rFonts w:ascii="Calibri" w:eastAsia="Times New Roman" w:hAnsi="Calibri" w:cs="Calibri"/>
                <w:kern w:val="0"/>
                <w:lang w:eastAsia="en-GB"/>
                <w14:ligatures w14:val="none"/>
              </w:rPr>
              <w:t>to ensure</w:t>
            </w:r>
            <w:r w:rsidRPr="009A47DA">
              <w:rPr>
                <w:rFonts w:ascii="Calibri" w:eastAsia="Times New Roman" w:hAnsi="Calibri" w:cs="Calibri"/>
                <w:kern w:val="0"/>
                <w:lang w:eastAsia="en-GB"/>
                <w14:ligatures w14:val="none"/>
              </w:rPr>
              <w:t xml:space="preserve"> they consider both a scenario where global temperature increases remain below two degrees Celsius and one where the increase is higher.</w:t>
            </w:r>
          </w:p>
          <w:p w14:paraId="057ED304" w14:textId="281BD181" w:rsidR="009A47DA" w:rsidRDefault="00E73292" w:rsidP="00E73292">
            <w:pPr>
              <w:rPr>
                <w:rFonts w:ascii="Calibri" w:eastAsia="Times New Roman" w:hAnsi="Calibri" w:cs="Calibri"/>
                <w:kern w:val="0"/>
                <w:lang w:eastAsia="en-GB"/>
                <w14:ligatures w14:val="none"/>
              </w:rPr>
            </w:pPr>
            <w:r w:rsidRPr="00E73292">
              <w:rPr>
                <w:rFonts w:ascii="Calibri" w:eastAsia="Times New Roman" w:hAnsi="Calibri" w:cs="Calibri"/>
                <w:kern w:val="0"/>
                <w:lang w:eastAsia="en-GB"/>
                <w14:ligatures w14:val="none"/>
              </w:rPr>
              <w:t>The directive emphasizes the importance of regularly reviewing and updating these scenarios, with a minimum review period of every three years.</w:t>
            </w:r>
            <w:r w:rsidR="006324F8">
              <w:rPr>
                <w:rFonts w:ascii="Calibri" w:eastAsia="Times New Roman" w:hAnsi="Calibri" w:cs="Calibri"/>
                <w:kern w:val="0"/>
                <w:lang w:eastAsia="en-GB"/>
                <w14:ligatures w14:val="none"/>
              </w:rPr>
              <w:t xml:space="preserve"> </w:t>
            </w:r>
            <w:r w:rsidRPr="00E73292">
              <w:rPr>
                <w:rFonts w:ascii="Calibri" w:eastAsia="Times New Roman" w:hAnsi="Calibri" w:cs="Calibri"/>
                <w:kern w:val="0"/>
                <w:lang w:eastAsia="en-GB"/>
                <w14:ligatures w14:val="none"/>
              </w:rPr>
              <w:t>The frequency and scope of the scenario analysis should be proportionate to the nature, scale, and complexity of the climate change risks inherent in the business of the undertaking. This proportionality principle allows entities to tailor their analyses to their specific risk profiles and operational contexts</w:t>
            </w:r>
            <w:r w:rsidR="006324F8">
              <w:rPr>
                <w:rFonts w:ascii="Calibri" w:eastAsia="Times New Roman" w:hAnsi="Calibri" w:cs="Calibri"/>
                <w:kern w:val="0"/>
                <w:lang w:eastAsia="en-GB"/>
                <w14:ligatures w14:val="none"/>
              </w:rPr>
              <w:t>.</w:t>
            </w:r>
          </w:p>
          <w:p w14:paraId="5C18CF55" w14:textId="1C376EAE" w:rsidR="009A47DA" w:rsidRPr="00CF2E7C" w:rsidRDefault="00E73292" w:rsidP="008959CD">
            <w:pPr>
              <w:rPr>
                <w:rFonts w:ascii="Calibri" w:eastAsia="Times New Roman" w:hAnsi="Calibri" w:cs="Calibri"/>
                <w:kern w:val="0"/>
                <w:lang w:eastAsia="en-GB"/>
                <w14:ligatures w14:val="none"/>
              </w:rPr>
            </w:pPr>
            <w:r w:rsidRPr="00E73292">
              <w:rPr>
                <w:rFonts w:ascii="Calibri" w:eastAsia="Times New Roman" w:hAnsi="Calibri" w:cs="Calibri"/>
                <w:kern w:val="0"/>
                <w:lang w:eastAsia="en-GB"/>
                <w14:ligatures w14:val="none"/>
              </w:rPr>
              <w:t xml:space="preserve">Article 45(2c) of the directive further specifies the development of regulatory technical standards </w:t>
            </w:r>
            <w:r>
              <w:rPr>
                <w:rFonts w:ascii="Calibri" w:eastAsia="Times New Roman" w:hAnsi="Calibri" w:cs="Calibri"/>
                <w:kern w:val="0"/>
                <w:lang w:eastAsia="en-GB"/>
                <w14:ligatures w14:val="none"/>
              </w:rPr>
              <w:t xml:space="preserve">by EIOPA </w:t>
            </w:r>
            <w:r w:rsidRPr="00E73292">
              <w:rPr>
                <w:rFonts w:ascii="Calibri" w:eastAsia="Times New Roman" w:hAnsi="Calibri" w:cs="Calibri"/>
                <w:kern w:val="0"/>
                <w:lang w:eastAsia="en-GB"/>
                <w14:ligatures w14:val="none"/>
              </w:rPr>
              <w:t>to guide the identification, measurement, management, and monitoring of sustainability risks.</w:t>
            </w:r>
            <w:r w:rsidR="00CE237D">
              <w:rPr>
                <w:rFonts w:ascii="Calibri" w:eastAsia="Times New Roman" w:hAnsi="Calibri" w:cs="Calibri"/>
                <w:kern w:val="0"/>
                <w:lang w:eastAsia="en-GB"/>
                <w14:ligatures w14:val="none"/>
              </w:rPr>
              <w:t xml:space="preserve"> These standards include (i) the minimum standards and reference methodologies, (ii) the elements to be covered in the plans,</w:t>
            </w:r>
            <w:r w:rsidR="00793615">
              <w:rPr>
                <w:rFonts w:ascii="Calibri" w:eastAsia="Times New Roman" w:hAnsi="Calibri" w:cs="Calibri"/>
                <w:kern w:val="0"/>
                <w:lang w:eastAsia="en-GB"/>
                <w14:ligatures w14:val="none"/>
              </w:rPr>
              <w:t xml:space="preserve"> which shall include </w:t>
            </w:r>
            <w:r w:rsidR="00793615" w:rsidRPr="00793615">
              <w:rPr>
                <w:rFonts w:ascii="Calibri" w:eastAsia="Times New Roman" w:hAnsi="Calibri" w:cs="Calibri"/>
                <w:kern w:val="0"/>
                <w:lang w:eastAsia="en-GB"/>
                <w14:ligatures w14:val="none"/>
              </w:rPr>
              <w:t>specific timelines and intermediate quantifiable targets and milestones</w:t>
            </w:r>
            <w:r w:rsidR="00793615">
              <w:rPr>
                <w:rFonts w:ascii="Calibri" w:eastAsia="Times New Roman" w:hAnsi="Calibri" w:cs="Calibri"/>
                <w:kern w:val="0"/>
                <w:lang w:eastAsia="en-GB"/>
                <w14:ligatures w14:val="none"/>
              </w:rPr>
              <w:t>, (iii) supervisory approaches in relation to the plans, quantifiable targets and processes, and (iv) the elements of the plan to be disclosed, including the relevant quantifiable targets.</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459C600D" w:rsidR="00DC31BF" w:rsidRPr="00CF2E7C" w:rsidRDefault="00786B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256D1008"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5BDC6BD7" w:rsidR="0098226E" w:rsidRPr="00CF2E7C" w:rsidRDefault="003667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55AA1BD3" w14:textId="12946767" w:rsidR="0098226E" w:rsidRDefault="00366778" w:rsidP="00CF2E7C">
            <w:pPr>
              <w:textAlignment w:val="baseline"/>
              <w:rPr>
                <w:rFonts w:ascii="Calibri" w:eastAsia="Times New Roman" w:hAnsi="Calibri" w:cs="Calibri"/>
                <w:kern w:val="0"/>
                <w:lang w:eastAsia="en-GB"/>
                <w14:ligatures w14:val="none"/>
              </w:rPr>
            </w:pPr>
            <w:r w:rsidRPr="00366778">
              <w:rPr>
                <w:rFonts w:ascii="Calibri" w:eastAsia="Times New Roman" w:hAnsi="Calibri" w:cs="Calibri"/>
                <w:kern w:val="0"/>
                <w:lang w:eastAsia="en-GB"/>
                <w14:ligatures w14:val="none"/>
              </w:rPr>
              <w:t>The directive specifies that the scenario analysis related to</w:t>
            </w:r>
            <w:r w:rsidR="00D53EA1">
              <w:rPr>
                <w:rFonts w:ascii="Calibri" w:eastAsia="Times New Roman" w:hAnsi="Calibri" w:cs="Calibri"/>
                <w:kern w:val="0"/>
                <w:lang w:eastAsia="en-GB"/>
                <w14:ligatures w14:val="none"/>
              </w:rPr>
              <w:t xml:space="preserve"> material exposures to</w:t>
            </w:r>
            <w:r w:rsidRPr="00366778">
              <w:rPr>
                <w:rFonts w:ascii="Calibri" w:eastAsia="Times New Roman" w:hAnsi="Calibri" w:cs="Calibri"/>
                <w:kern w:val="0"/>
                <w:lang w:eastAsia="en-GB"/>
                <w14:ligatures w14:val="none"/>
              </w:rPr>
              <w:t xml:space="preserve"> climate change risks should be conducted at regular intervals, which are proportionate to the nature, scale, and complexity of the climate change risks inherent in the business of the undertaking</w:t>
            </w:r>
            <w:r w:rsidR="001A473D">
              <w:rPr>
                <w:rFonts w:ascii="Calibri" w:eastAsia="Times New Roman" w:hAnsi="Calibri" w:cs="Calibri"/>
                <w:kern w:val="0"/>
                <w:lang w:eastAsia="en-GB"/>
                <w14:ligatures w14:val="none"/>
              </w:rPr>
              <w:t xml:space="preserve"> (Article 45a(1))</w:t>
            </w:r>
            <w:r w:rsidRPr="00366778">
              <w:rPr>
                <w:rFonts w:ascii="Calibri" w:eastAsia="Times New Roman" w:hAnsi="Calibri" w:cs="Calibri"/>
                <w:kern w:val="0"/>
                <w:lang w:eastAsia="en-GB"/>
                <w14:ligatures w14:val="none"/>
              </w:rPr>
              <w:t>. However, these intervals should not exceed three years, as outlined in Article 45a</w:t>
            </w:r>
            <w:r w:rsidR="003D11DE">
              <w:rPr>
                <w:rFonts w:ascii="Calibri" w:eastAsia="Times New Roman" w:hAnsi="Calibri" w:cs="Calibri"/>
                <w:kern w:val="0"/>
                <w:lang w:eastAsia="en-GB"/>
                <w14:ligatures w14:val="none"/>
              </w:rPr>
              <w:t>(3)</w:t>
            </w:r>
            <w:r w:rsidRPr="00366778">
              <w:rPr>
                <w:rFonts w:ascii="Calibri" w:eastAsia="Times New Roman" w:hAnsi="Calibri" w:cs="Calibri"/>
                <w:kern w:val="0"/>
                <w:lang w:eastAsia="en-GB"/>
                <w14:ligatures w14:val="none"/>
              </w:rPr>
              <w:t xml:space="preserve">. This means that while the exercise is not strictly annual or biennial, it must be conducted at least once every three years, </w:t>
            </w:r>
            <w:r w:rsidR="003D11DE">
              <w:rPr>
                <w:rFonts w:ascii="Calibri" w:eastAsia="Times New Roman" w:hAnsi="Calibri" w:cs="Calibri"/>
                <w:kern w:val="0"/>
                <w:lang w:eastAsia="en-GB"/>
                <w14:ligatures w14:val="none"/>
              </w:rPr>
              <w:t>to ensure</w:t>
            </w:r>
            <w:r w:rsidRPr="00366778">
              <w:rPr>
                <w:rFonts w:ascii="Calibri" w:eastAsia="Times New Roman" w:hAnsi="Calibri" w:cs="Calibri"/>
                <w:kern w:val="0"/>
                <w:lang w:eastAsia="en-GB"/>
                <w14:ligatures w14:val="none"/>
              </w:rPr>
              <w:t xml:space="preserve"> that entities regularly update their assessments to reflect current conditions and risks.</w:t>
            </w:r>
          </w:p>
          <w:p w14:paraId="30AC486D" w14:textId="22FF42DD" w:rsidR="001A473D" w:rsidRDefault="001A473D" w:rsidP="001A473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monitoring of specific plans, that include </w:t>
            </w:r>
            <w:r w:rsidRPr="001A473D">
              <w:rPr>
                <w:rFonts w:ascii="Calibri" w:eastAsia="Times New Roman" w:hAnsi="Calibri" w:cs="Calibri"/>
                <w:kern w:val="0"/>
                <w:lang w:eastAsia="en-GB"/>
                <w14:ligatures w14:val="none"/>
              </w:rPr>
              <w:t>quantifiable targets and processes to monitor and address the financial risks arising in the short, medium, and long term from sustainability factors</w:t>
            </w:r>
            <w:r>
              <w:rPr>
                <w:rFonts w:ascii="Calibri" w:eastAsia="Times New Roman" w:hAnsi="Calibri" w:cs="Calibri"/>
                <w:kern w:val="0"/>
                <w:lang w:eastAsia="en-GB"/>
                <w14:ligatures w14:val="none"/>
              </w:rPr>
              <w:t xml:space="preserve"> as referred to in Article 44(2b) shall be </w:t>
            </w:r>
            <w:r w:rsidR="005621E0">
              <w:rPr>
                <w:rFonts w:ascii="Calibri" w:eastAsia="Times New Roman" w:hAnsi="Calibri" w:cs="Calibri"/>
                <w:kern w:val="0"/>
                <w:lang w:eastAsia="en-GB"/>
                <w14:ligatures w14:val="none"/>
              </w:rPr>
              <w:t>continuous as part of the risk management processes</w:t>
            </w:r>
            <w:r w:rsidR="00577D54">
              <w:rPr>
                <w:rFonts w:ascii="Calibri" w:eastAsia="Times New Roman" w:hAnsi="Calibri" w:cs="Calibri"/>
                <w:kern w:val="0"/>
                <w:lang w:eastAsia="en-GB"/>
                <w14:ligatures w14:val="none"/>
              </w:rPr>
              <w:t>, also in light of the obligation to annually disclose the quantifiable targets included in the plans pursuant to Article 44(2d).</w:t>
            </w:r>
          </w:p>
          <w:p w14:paraId="197E5E84" w14:textId="4FAA12DA" w:rsidR="003744D6" w:rsidRPr="00366778" w:rsidRDefault="00577D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Finally</w:t>
            </w:r>
            <w:r w:rsidR="00790CCA">
              <w:rPr>
                <w:rFonts w:ascii="Calibri" w:eastAsia="Times New Roman" w:hAnsi="Calibri" w:cs="Calibri"/>
                <w:kern w:val="0"/>
                <w:lang w:eastAsia="en-GB"/>
                <w14:ligatures w14:val="none"/>
              </w:rPr>
              <w:t>, as part of the annual ORSA process, which is</w:t>
            </w:r>
            <w:r w:rsidR="004A6187">
              <w:rPr>
                <w:rFonts w:ascii="Calibri" w:eastAsia="Times New Roman" w:hAnsi="Calibri" w:cs="Calibri"/>
                <w:kern w:val="0"/>
                <w:lang w:eastAsia="en-GB"/>
                <w14:ligatures w14:val="none"/>
              </w:rPr>
              <w:t xml:space="preserve"> an </w:t>
            </w:r>
            <w:r w:rsidR="004A6187" w:rsidRPr="004A6187">
              <w:rPr>
                <w:rFonts w:ascii="Calibri" w:eastAsia="Times New Roman" w:hAnsi="Calibri" w:cs="Calibri"/>
                <w:kern w:val="0"/>
                <w:lang w:eastAsia="en-GB"/>
                <w14:ligatures w14:val="none"/>
              </w:rPr>
              <w:t xml:space="preserve">integral part of an entity's business strategy, </w:t>
            </w:r>
            <w:r w:rsidR="004A6187">
              <w:rPr>
                <w:rFonts w:ascii="Calibri" w:eastAsia="Times New Roman" w:hAnsi="Calibri" w:cs="Calibri"/>
                <w:kern w:val="0"/>
                <w:lang w:eastAsia="en-GB"/>
                <w14:ligatures w14:val="none"/>
              </w:rPr>
              <w:t>requiring</w:t>
            </w:r>
            <w:r w:rsidR="004A6187" w:rsidRPr="004A6187">
              <w:rPr>
                <w:rFonts w:ascii="Calibri" w:eastAsia="Times New Roman" w:hAnsi="Calibri" w:cs="Calibri"/>
                <w:kern w:val="0"/>
                <w:lang w:eastAsia="en-GB"/>
                <w14:ligatures w14:val="none"/>
              </w:rPr>
              <w:t xml:space="preserve"> undertakings to assess their overall solvency needs, taking into account their specific risk profile, approved risk tolerance limits, and business strategy</w:t>
            </w:r>
            <w:r w:rsidR="004A6187">
              <w:rPr>
                <w:rFonts w:ascii="Calibri" w:eastAsia="Times New Roman" w:hAnsi="Calibri" w:cs="Calibri"/>
                <w:kern w:val="0"/>
                <w:lang w:eastAsia="en-GB"/>
                <w14:ligatures w14:val="none"/>
              </w:rPr>
              <w:t xml:space="preserve">, </w:t>
            </w:r>
            <w:r w:rsidR="00FA4CAF">
              <w:rPr>
                <w:rFonts w:ascii="Calibri" w:eastAsia="Times New Roman" w:hAnsi="Calibri" w:cs="Calibri"/>
                <w:kern w:val="0"/>
                <w:lang w:eastAsia="en-GB"/>
                <w14:ligatures w14:val="none"/>
              </w:rPr>
              <w:t xml:space="preserve">the undertaking shall provide </w:t>
            </w:r>
            <w:r w:rsidR="00FA4CAF" w:rsidRPr="00FA4CAF">
              <w:rPr>
                <w:rFonts w:ascii="Calibri" w:eastAsia="Times New Roman" w:hAnsi="Calibri" w:cs="Calibri"/>
                <w:kern w:val="0"/>
                <w:lang w:eastAsia="en-GB"/>
                <w14:ligatures w14:val="none"/>
              </w:rPr>
              <w:t>an indication of whether the undertaking has any material exposure to climate change risks following the materiality assessment referred to in Article 45a(1), and, where relevant, if it has put in place any actions</w:t>
            </w:r>
            <w:r w:rsidR="00FA4CAF">
              <w:rPr>
                <w:rFonts w:ascii="Calibri" w:eastAsia="Times New Roman" w:hAnsi="Calibri" w:cs="Calibri"/>
                <w:kern w:val="0"/>
                <w:lang w:eastAsia="en-GB"/>
                <w14:ligatures w14:val="none"/>
              </w:rPr>
              <w:t>.</w:t>
            </w: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0A3E4BEE" w:rsidR="00F10A6E" w:rsidRPr="00CF2E7C" w:rsidRDefault="00DD15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9D40051" w14:textId="10FBE15F" w:rsidR="008C5D93" w:rsidRPr="008C5D93" w:rsidRDefault="008C5D93" w:rsidP="008C5D93">
            <w:pPr>
              <w:textAlignment w:val="baseline"/>
              <w:rPr>
                <w:rFonts w:ascii="Calibri" w:eastAsia="Times New Roman" w:hAnsi="Calibri" w:cs="Calibri"/>
                <w:kern w:val="0"/>
                <w:lang w:eastAsia="en-GB"/>
                <w14:ligatures w14:val="none"/>
              </w:rPr>
            </w:pPr>
            <w:r w:rsidRPr="008C5D93">
              <w:rPr>
                <w:rFonts w:ascii="Calibri" w:eastAsia="Times New Roman" w:hAnsi="Calibri" w:cs="Calibri"/>
                <w:kern w:val="0"/>
                <w:lang w:eastAsia="en-GB"/>
                <w14:ligatures w14:val="none"/>
              </w:rPr>
              <w:t>Directive (EU) 2025/2, particularly in Article 45a, mandates insurance and reinsurance undertakings to conduct scenario analyses that encompass short, medium, and long-term perspectives on climate change risks. These analyses require entities to evaluate the impact of global temperature increases, including scenarios where the temperature rise remains below two degrees Celsius and scenarios where it exceeds this threshold.</w:t>
            </w:r>
          </w:p>
          <w:p w14:paraId="7BF7E5E9" w14:textId="4F88C437" w:rsidR="0097093E" w:rsidRPr="00CF2E7C" w:rsidRDefault="008C5D93" w:rsidP="008C5D93">
            <w:pPr>
              <w:textAlignment w:val="baseline"/>
              <w:rPr>
                <w:rFonts w:ascii="Calibri" w:eastAsia="Times New Roman" w:hAnsi="Calibri" w:cs="Calibri"/>
                <w:kern w:val="0"/>
                <w:lang w:eastAsia="en-GB"/>
                <w14:ligatures w14:val="none"/>
              </w:rPr>
            </w:pPr>
            <w:r w:rsidRPr="008C5D93">
              <w:rPr>
                <w:rFonts w:ascii="Calibri" w:eastAsia="Times New Roman" w:hAnsi="Calibri" w:cs="Calibri"/>
                <w:kern w:val="0"/>
                <w:lang w:eastAsia="en-GB"/>
                <w14:ligatures w14:val="none"/>
              </w:rPr>
              <w:t xml:space="preserve">While the directive does not specify exact time horizons for these assessments, the inclusion of short, medium, and long-term scenarios suggests </w:t>
            </w:r>
            <w:r w:rsidR="00CF6953">
              <w:rPr>
                <w:rFonts w:ascii="Calibri" w:eastAsia="Times New Roman" w:hAnsi="Calibri" w:cs="Calibri"/>
                <w:kern w:val="0"/>
                <w:lang w:eastAsia="en-GB"/>
                <w14:ligatures w14:val="none"/>
              </w:rPr>
              <w:t xml:space="preserve">typical planning horizons, with a </w:t>
            </w:r>
            <w:r w:rsidRPr="008C5D93">
              <w:rPr>
                <w:rFonts w:ascii="Calibri" w:eastAsia="Times New Roman" w:hAnsi="Calibri" w:cs="Calibri"/>
                <w:kern w:val="0"/>
                <w:lang w:eastAsia="en-GB"/>
                <w14:ligatures w14:val="none"/>
              </w:rPr>
              <w:t xml:space="preserve">short-to-medium term assessments </w:t>
            </w:r>
            <w:r w:rsidR="00CF6953">
              <w:rPr>
                <w:rFonts w:ascii="Calibri" w:eastAsia="Times New Roman" w:hAnsi="Calibri" w:cs="Calibri"/>
                <w:kern w:val="0"/>
                <w:lang w:eastAsia="en-GB"/>
                <w14:ligatures w14:val="none"/>
              </w:rPr>
              <w:t>covering</w:t>
            </w:r>
            <w:r w:rsidRPr="008C5D93">
              <w:rPr>
                <w:rFonts w:ascii="Calibri" w:eastAsia="Times New Roman" w:hAnsi="Calibri" w:cs="Calibri"/>
                <w:kern w:val="0"/>
                <w:lang w:eastAsia="en-GB"/>
                <w14:ligatures w14:val="none"/>
              </w:rPr>
              <w:t xml:space="preserve"> periods of three to five years. In contrast, long-term assessments extend beyond typical business planning horizons, often considering impacts over more than five years.</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548302B7" w:rsidR="00F26296" w:rsidRPr="00CF2E7C" w:rsidRDefault="003D35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0C4E014D" w:rsidR="00F26296" w:rsidRPr="00CF2E7C" w:rsidRDefault="003D35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601B5FC" w14:textId="77777777" w:rsidR="003D3574" w:rsidRPr="003D3574" w:rsidRDefault="003D3574" w:rsidP="003D3574">
            <w:pPr>
              <w:textAlignment w:val="baseline"/>
              <w:rPr>
                <w:rFonts w:ascii="Calibri" w:eastAsia="Times New Roman" w:hAnsi="Calibri" w:cs="Calibri"/>
                <w:kern w:val="0"/>
                <w:lang w:eastAsia="en-GB"/>
                <w14:ligatures w14:val="none"/>
              </w:rPr>
            </w:pPr>
            <w:r w:rsidRPr="003D3574">
              <w:rPr>
                <w:rFonts w:ascii="Calibri" w:eastAsia="Times New Roman" w:hAnsi="Calibri" w:cs="Calibri"/>
                <w:kern w:val="0"/>
                <w:lang w:eastAsia="en-GB"/>
                <w14:ligatures w14:val="none"/>
              </w:rPr>
              <w:t>The directive emphasizes that scenario analyses related to climate change risks should be integrated into the risk management frameworks of insurance and reinsurance undertakings. Article 45a requires entities to assess their material exposure to climate change risks and incorporate these findings into their strategic planning and governance processes.</w:t>
            </w:r>
          </w:p>
          <w:p w14:paraId="02DA5710" w14:textId="321F28E9" w:rsidR="003D3574" w:rsidRPr="003D3574" w:rsidRDefault="003D3574" w:rsidP="00CF2E7C">
            <w:pPr>
              <w:textAlignment w:val="baseline"/>
              <w:rPr>
                <w:rFonts w:ascii="Calibri" w:eastAsia="Times New Roman" w:hAnsi="Calibri" w:cs="Calibri"/>
                <w:kern w:val="0"/>
                <w:lang w:eastAsia="en-GB"/>
                <w14:ligatures w14:val="none"/>
              </w:rPr>
            </w:pPr>
            <w:r w:rsidRPr="003D3574">
              <w:rPr>
                <w:rFonts w:ascii="Calibri" w:eastAsia="Times New Roman" w:hAnsi="Calibri" w:cs="Calibri"/>
                <w:kern w:val="0"/>
                <w:lang w:eastAsia="en-GB"/>
                <w14:ligatures w14:val="none"/>
              </w:rPr>
              <w:t xml:space="preserve">The results of these analyses are also intended to be part of the broader </w:t>
            </w:r>
            <w:r>
              <w:rPr>
                <w:rFonts w:ascii="Calibri" w:eastAsia="Times New Roman" w:hAnsi="Calibri" w:cs="Calibri"/>
                <w:kern w:val="0"/>
                <w:lang w:eastAsia="en-GB"/>
                <w14:ligatures w14:val="none"/>
              </w:rPr>
              <w:t>ORSA</w:t>
            </w:r>
            <w:r w:rsidRPr="003D3574">
              <w:rPr>
                <w:rFonts w:ascii="Calibri" w:eastAsia="Times New Roman" w:hAnsi="Calibri" w:cs="Calibri"/>
                <w:kern w:val="0"/>
                <w:lang w:eastAsia="en-GB"/>
                <w14:ligatures w14:val="none"/>
              </w:rPr>
              <w:t>, which informs the overall solvency needs of the undertaking, taking into account its specific risk profile and business strategy. This implies that the findings from scenario analyses contribute to the entity's understanding of its solvency position and risk tolerance.</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4DB9089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A16B3">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4E8A8F0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A16B3">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45CD1F74" w14:textId="77777777" w:rsidR="00164D9A" w:rsidRDefault="00164D9A" w:rsidP="00CF2E7C">
            <w:pPr>
              <w:textAlignment w:val="baseline"/>
              <w:rPr>
                <w:rFonts w:eastAsia="Times New Roman" w:cstheme="minorHAnsi"/>
                <w:kern w:val="0"/>
                <w:lang w:eastAsia="en-GB"/>
                <w14:ligatures w14:val="none"/>
              </w:rPr>
            </w:pPr>
            <w:r w:rsidRPr="00164D9A">
              <w:rPr>
                <w:rFonts w:eastAsia="Times New Roman" w:cstheme="minorHAnsi"/>
                <w:kern w:val="0"/>
                <w:lang w:eastAsia="en-GB"/>
                <w14:ligatures w14:val="none"/>
              </w:rPr>
              <w:t xml:space="preserve">By January 2026, EIOPA is expected to develop regulatory technical standards that will specify minimum standards and methodologies for identifying and managing sustainability risks, detailed requirements for risk management plans, supervisory approaches, and disclosure obligations. These standards aim to ensure robust processes and transparency in addressing climate-related and other sustainability risks. </w:t>
            </w:r>
          </w:p>
          <w:p w14:paraId="34B8DC3E" w14:textId="3C2A8175" w:rsidR="000D2014" w:rsidRPr="000D2014" w:rsidRDefault="00164D9A" w:rsidP="00CF2E7C">
            <w:pPr>
              <w:textAlignment w:val="baseline"/>
              <w:rPr>
                <w:rFonts w:eastAsia="Times New Roman" w:cstheme="minorHAnsi"/>
                <w:kern w:val="0"/>
                <w:lang w:eastAsia="en-GB"/>
                <w14:ligatures w14:val="none"/>
              </w:rPr>
            </w:pPr>
            <w:r w:rsidRPr="00164D9A">
              <w:rPr>
                <w:rFonts w:eastAsia="Times New Roman" w:cstheme="minorHAnsi"/>
                <w:kern w:val="0"/>
                <w:lang w:eastAsia="en-GB"/>
                <w14:ligatures w14:val="none"/>
              </w:rPr>
              <w:t xml:space="preserve">Additionally, EIOPA is expected to issue </w:t>
            </w:r>
            <w:r w:rsidR="0062476D">
              <w:rPr>
                <w:rFonts w:eastAsia="Times New Roman" w:cstheme="minorHAnsi"/>
                <w:kern w:val="0"/>
                <w:lang w:eastAsia="en-GB"/>
                <w14:ligatures w14:val="none"/>
              </w:rPr>
              <w:t xml:space="preserve">further </w:t>
            </w:r>
            <w:r w:rsidRPr="00164D9A">
              <w:rPr>
                <w:rFonts w:eastAsia="Times New Roman" w:cstheme="minorHAnsi"/>
                <w:kern w:val="0"/>
                <w:lang w:eastAsia="en-GB"/>
                <w14:ligatures w14:val="none"/>
              </w:rPr>
              <w:t xml:space="preserve">guidelines to support consistent application across Member States, </w:t>
            </w:r>
            <w:r>
              <w:rPr>
                <w:rFonts w:eastAsia="Times New Roman" w:cstheme="minorHAnsi"/>
                <w:kern w:val="0"/>
                <w:lang w:eastAsia="en-GB"/>
                <w14:ligatures w14:val="none"/>
              </w:rPr>
              <w:t>to promote</w:t>
            </w:r>
            <w:r w:rsidRPr="00164D9A">
              <w:rPr>
                <w:rFonts w:eastAsia="Times New Roman" w:cstheme="minorHAnsi"/>
                <w:kern w:val="0"/>
                <w:lang w:eastAsia="en-GB"/>
                <w14:ligatures w14:val="none"/>
              </w:rPr>
              <w:t xml:space="preserve"> a harmonized approach to sustainability risk management. </w:t>
            </w:r>
            <w:r w:rsidR="0062476D">
              <w:rPr>
                <w:rFonts w:eastAsia="Times New Roman" w:cstheme="minorHAnsi"/>
                <w:kern w:val="0"/>
                <w:lang w:eastAsia="en-GB"/>
                <w14:ligatures w14:val="none"/>
              </w:rPr>
              <w:t xml:space="preserve">Currently, for the application of the current </w:t>
            </w:r>
            <w:r w:rsidR="00035A82">
              <w:rPr>
                <w:rFonts w:eastAsia="Times New Roman" w:cstheme="minorHAnsi"/>
                <w:kern w:val="0"/>
                <w:lang w:eastAsia="en-GB"/>
                <w14:ligatures w14:val="none"/>
              </w:rPr>
              <w:t>requirements</w:t>
            </w:r>
            <w:r w:rsidR="0062476D">
              <w:rPr>
                <w:rFonts w:eastAsia="Times New Roman" w:cstheme="minorHAnsi"/>
                <w:kern w:val="0"/>
                <w:lang w:eastAsia="en-GB"/>
                <w14:ligatures w14:val="none"/>
              </w:rPr>
              <w:t xml:space="preserve"> relating to climate change related risks in </w:t>
            </w:r>
            <w:r w:rsidR="00035A82">
              <w:rPr>
                <w:rFonts w:eastAsia="Times New Roman" w:cstheme="minorHAnsi"/>
                <w:kern w:val="0"/>
                <w:lang w:eastAsia="en-GB"/>
                <w14:ligatures w14:val="none"/>
              </w:rPr>
              <w:t xml:space="preserve">the annual ORSA, EIOPA has already issued </w:t>
            </w:r>
            <w:r w:rsidR="00F43B4F">
              <w:rPr>
                <w:rFonts w:eastAsia="Times New Roman" w:cstheme="minorHAnsi"/>
                <w:kern w:val="0"/>
                <w:lang w:eastAsia="en-GB"/>
                <w14:ligatures w14:val="none"/>
              </w:rPr>
              <w:t>guidance</w:t>
            </w:r>
            <w:r w:rsidR="00035A82">
              <w:rPr>
                <w:rFonts w:eastAsia="Times New Roman" w:cstheme="minorHAnsi"/>
                <w:kern w:val="0"/>
                <w:lang w:eastAsia="en-GB"/>
                <w14:ligatures w14:val="none"/>
              </w:rPr>
              <w:t>, including</w:t>
            </w:r>
            <w:r w:rsidR="000D2014">
              <w:rPr>
                <w:rFonts w:eastAsia="Times New Roman" w:cstheme="minorHAnsi"/>
                <w:kern w:val="0"/>
                <w:lang w:eastAsia="en-GB"/>
                <w14:ligatures w14:val="none"/>
              </w:rPr>
              <w:t>:</w:t>
            </w:r>
            <w:r w:rsidR="00035A82">
              <w:rPr>
                <w:rFonts w:eastAsia="Times New Roman" w:cstheme="minorHAnsi"/>
                <w:kern w:val="0"/>
                <w:lang w:eastAsia="en-GB"/>
                <w14:ligatures w14:val="none"/>
              </w:rPr>
              <w:t xml:space="preserve"> </w:t>
            </w:r>
          </w:p>
          <w:p w14:paraId="6641B3B8" w14:textId="77777777" w:rsidR="00702413" w:rsidRDefault="000D2014" w:rsidP="000D2014">
            <w:pPr>
              <w:pStyle w:val="ListParagraph"/>
              <w:numPr>
                <w:ilvl w:val="0"/>
                <w:numId w:val="51"/>
              </w:numPr>
              <w:textAlignment w:val="baseline"/>
              <w:rPr>
                <w:rFonts w:eastAsia="Times New Roman" w:cstheme="minorHAnsi"/>
                <w:kern w:val="0"/>
                <w:lang w:eastAsia="en-GB"/>
                <w14:ligatures w14:val="none"/>
              </w:rPr>
            </w:pPr>
            <w:r w:rsidRPr="000D2014">
              <w:rPr>
                <w:rFonts w:eastAsia="Times New Roman" w:cstheme="minorHAnsi"/>
                <w:kern w:val="0"/>
                <w:lang w:eastAsia="en-GB"/>
                <w14:ligatures w14:val="none"/>
              </w:rPr>
              <w:t>Application guidance on running climate change materiality assessment and using climate change scenarios in the ORSA</w:t>
            </w:r>
            <w:r>
              <w:rPr>
                <w:rFonts w:eastAsia="Times New Roman" w:cstheme="minorHAnsi"/>
                <w:kern w:val="0"/>
                <w:lang w:eastAsia="en-GB"/>
                <w14:ligatures w14:val="none"/>
              </w:rPr>
              <w:t>;</w:t>
            </w:r>
          </w:p>
          <w:p w14:paraId="7C74788F" w14:textId="2F1D210E" w:rsidR="00F43B4F" w:rsidRPr="00F43B4F" w:rsidRDefault="00F43B4F" w:rsidP="00F43B4F">
            <w:pPr>
              <w:pStyle w:val="ListParagraph"/>
              <w:numPr>
                <w:ilvl w:val="0"/>
                <w:numId w:val="51"/>
              </w:numPr>
              <w:textAlignment w:val="baseline"/>
              <w:rPr>
                <w:rFonts w:eastAsia="Times New Roman" w:cstheme="minorHAnsi"/>
                <w:kern w:val="0"/>
                <w:lang w:eastAsia="en-GB"/>
                <w14:ligatures w14:val="none"/>
              </w:rPr>
            </w:pPr>
            <w:r w:rsidRPr="00F43B4F">
              <w:rPr>
                <w:rFonts w:eastAsia="Times New Roman" w:cstheme="minorHAnsi"/>
                <w:kern w:val="0"/>
                <w:lang w:eastAsia="en-GB"/>
                <w14:ligatures w14:val="none"/>
              </w:rPr>
              <w:t>Technical advice to EC on the integration of sustainability risks and factors in Solvency II and in the Insurance Distribution Directive</w:t>
            </w:r>
            <w:r>
              <w:rPr>
                <w:rFonts w:eastAsia="Times New Roman" w:cstheme="minorHAnsi"/>
                <w:kern w:val="0"/>
                <w:lang w:eastAsia="en-GB"/>
                <w14:ligatures w14:val="none"/>
              </w:rPr>
              <w:t>;</w:t>
            </w:r>
          </w:p>
          <w:p w14:paraId="1B420A93" w14:textId="05139EA1" w:rsidR="00F43B4F" w:rsidRPr="00F43B4F" w:rsidRDefault="00F43B4F" w:rsidP="00F43B4F">
            <w:pPr>
              <w:pStyle w:val="ListParagraph"/>
              <w:numPr>
                <w:ilvl w:val="0"/>
                <w:numId w:val="51"/>
              </w:numPr>
              <w:textAlignment w:val="baseline"/>
              <w:rPr>
                <w:rFonts w:eastAsia="Times New Roman" w:cstheme="minorHAnsi"/>
                <w:kern w:val="0"/>
                <w:lang w:eastAsia="en-GB"/>
                <w14:ligatures w14:val="none"/>
              </w:rPr>
            </w:pPr>
            <w:r w:rsidRPr="00F43B4F">
              <w:rPr>
                <w:rFonts w:eastAsia="Times New Roman" w:cstheme="minorHAnsi"/>
                <w:kern w:val="0"/>
                <w:lang w:eastAsia="en-GB"/>
                <w14:ligatures w14:val="none"/>
              </w:rPr>
              <w:t>Opinion on the supervision of the use of climate change risk scenarios in ORSA</w:t>
            </w:r>
            <w:r>
              <w:rPr>
                <w:rFonts w:eastAsia="Times New Roman" w:cstheme="minorHAnsi"/>
                <w:kern w:val="0"/>
                <w:lang w:eastAsia="en-GB"/>
                <w14:ligatures w14:val="none"/>
              </w:rPr>
              <w:t>; and</w:t>
            </w:r>
          </w:p>
          <w:p w14:paraId="2FE5DF4C" w14:textId="534A61A0" w:rsidR="00F43B4F" w:rsidRPr="00F43B4F" w:rsidRDefault="00F43B4F" w:rsidP="00F43B4F">
            <w:pPr>
              <w:pStyle w:val="ListParagraph"/>
              <w:numPr>
                <w:ilvl w:val="0"/>
                <w:numId w:val="51"/>
              </w:numPr>
              <w:textAlignment w:val="baseline"/>
              <w:rPr>
                <w:rFonts w:eastAsia="Times New Roman" w:cstheme="minorHAnsi"/>
                <w:kern w:val="0"/>
                <w:lang w:eastAsia="en-GB"/>
                <w14:ligatures w14:val="none"/>
              </w:rPr>
            </w:pPr>
            <w:r w:rsidRPr="00F43B4F">
              <w:rPr>
                <w:rFonts w:eastAsia="Times New Roman" w:cstheme="minorHAnsi"/>
                <w:kern w:val="0"/>
                <w:lang w:eastAsia="en-GB"/>
                <w14:ligatures w14:val="none"/>
              </w:rPr>
              <w:t>Opinion on sustainability within Solvency II</w:t>
            </w:r>
            <w:r>
              <w:rPr>
                <w:rFonts w:eastAsia="Times New Roman" w:cstheme="minorHAnsi"/>
                <w:kern w:val="0"/>
                <w:lang w:eastAsia="en-GB"/>
                <w14:ligatures w14:val="none"/>
              </w:rPr>
              <w:t>.</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022392EB" w14:textId="0AED6126" w:rsidR="009604AA" w:rsidRPr="009604AA" w:rsidRDefault="009604AA" w:rsidP="009604AA">
            <w:pPr>
              <w:textAlignment w:val="baseline"/>
              <w:rPr>
                <w:rFonts w:eastAsia="Times New Roman" w:cstheme="minorHAnsi"/>
                <w:kern w:val="0"/>
                <w:lang w:eastAsia="en-GB"/>
                <w14:ligatures w14:val="none"/>
              </w:rPr>
            </w:pPr>
            <w:r w:rsidRPr="009604AA">
              <w:rPr>
                <w:rFonts w:eastAsia="Times New Roman" w:cstheme="minorHAnsi"/>
                <w:kern w:val="0"/>
                <w:lang w:eastAsia="en-GB"/>
                <w14:ligatures w14:val="none"/>
              </w:rPr>
              <w:t>Implementing prudential policy tools for climate-related financial risk management presents several challenges that institutions must navigate to ensure effective integration into their existing frameworks. Although the transposition deadline is set for 27 January 2027, providing limited current insight into these barriers, several potential challenges can be anticipated</w:t>
            </w:r>
            <w:r>
              <w:rPr>
                <w:rFonts w:eastAsia="Times New Roman" w:cstheme="minorHAnsi"/>
                <w:kern w:val="0"/>
                <w:lang w:eastAsia="en-GB"/>
                <w14:ligatures w14:val="none"/>
              </w:rPr>
              <w:t>:</w:t>
            </w:r>
          </w:p>
          <w:p w14:paraId="73FB1DAE" w14:textId="77777777" w:rsidR="009604AA" w:rsidRPr="009604AA" w:rsidRDefault="009604AA" w:rsidP="009604AA">
            <w:pPr>
              <w:pStyle w:val="ListParagraph"/>
              <w:numPr>
                <w:ilvl w:val="0"/>
                <w:numId w:val="52"/>
              </w:numPr>
              <w:textAlignment w:val="baseline"/>
              <w:rPr>
                <w:rFonts w:eastAsia="Times New Roman" w:cstheme="minorHAnsi"/>
                <w:kern w:val="0"/>
                <w:lang w:eastAsia="en-GB"/>
                <w14:ligatures w14:val="none"/>
              </w:rPr>
            </w:pPr>
            <w:r w:rsidRPr="009604AA">
              <w:rPr>
                <w:rFonts w:eastAsia="Times New Roman" w:cstheme="minorHAnsi"/>
                <w:kern w:val="0"/>
                <w:lang w:eastAsia="en-GB"/>
                <w14:ligatures w14:val="none"/>
              </w:rPr>
              <w:lastRenderedPageBreak/>
              <w:t>A significant challenge is the lack of access to reliable and comprehensive climate-related data. Institutions often struggle to obtain the necessary data for accurate risk assessment, which is crucial for informed decision-making and effective risk management. Without robust data, institutions face difficulties in understanding the full scope of climate-related risks and in developing strategies to mitigate them.</w:t>
            </w:r>
          </w:p>
          <w:p w14:paraId="5B96CCFB" w14:textId="0A358862" w:rsidR="009604AA" w:rsidRPr="009604AA" w:rsidRDefault="009604AA" w:rsidP="009604AA">
            <w:pPr>
              <w:pStyle w:val="ListParagraph"/>
              <w:numPr>
                <w:ilvl w:val="0"/>
                <w:numId w:val="52"/>
              </w:numPr>
              <w:textAlignment w:val="baseline"/>
              <w:rPr>
                <w:rFonts w:eastAsia="Times New Roman" w:cstheme="minorHAnsi"/>
                <w:kern w:val="0"/>
                <w:lang w:eastAsia="en-GB"/>
                <w14:ligatures w14:val="none"/>
              </w:rPr>
            </w:pPr>
            <w:r w:rsidRPr="009604AA">
              <w:rPr>
                <w:rFonts w:eastAsia="Times New Roman" w:cstheme="minorHAnsi"/>
                <w:kern w:val="0"/>
                <w:lang w:eastAsia="en-GB"/>
                <w14:ligatures w14:val="none"/>
              </w:rPr>
              <w:t>The complexity of climate models further complicates their integration into existing risk management frameworks. These models require specialized expertise to interpret, posing difficulties for institutions, particularly those lacking the necessary technical expertise.</w:t>
            </w:r>
          </w:p>
          <w:p w14:paraId="6FA41598" w14:textId="7004C190" w:rsidR="009604AA" w:rsidRPr="009604AA" w:rsidRDefault="009604AA" w:rsidP="009604AA">
            <w:pPr>
              <w:pStyle w:val="ListParagraph"/>
              <w:numPr>
                <w:ilvl w:val="0"/>
                <w:numId w:val="52"/>
              </w:numPr>
              <w:textAlignment w:val="baseline"/>
              <w:rPr>
                <w:rFonts w:eastAsia="Times New Roman" w:cstheme="minorHAnsi"/>
                <w:kern w:val="0"/>
                <w:lang w:eastAsia="en-GB"/>
                <w14:ligatures w14:val="none"/>
              </w:rPr>
            </w:pPr>
            <w:r w:rsidRPr="009604AA">
              <w:rPr>
                <w:rFonts w:eastAsia="Times New Roman" w:cstheme="minorHAnsi"/>
                <w:kern w:val="0"/>
                <w:lang w:eastAsia="en-GB"/>
                <w14:ligatures w14:val="none"/>
              </w:rPr>
              <w:t xml:space="preserve">Further, regulatory uncertainty adds another layer of complexity to the implementation process. The evolving nature of regulatory expectations regarding climate-related risks can lead to inconsistencies in approaches across institutions. This uncertainty complicates the implementation process, as institutions may face challenges in aligning their strategies with changing regulatory requirements. </w:t>
            </w:r>
          </w:p>
          <w:p w14:paraId="718D87F5" w14:textId="64B4DE25" w:rsidR="00702413" w:rsidRPr="009604AA" w:rsidRDefault="009604AA" w:rsidP="009604AA">
            <w:pPr>
              <w:pStyle w:val="ListParagraph"/>
              <w:numPr>
                <w:ilvl w:val="0"/>
                <w:numId w:val="52"/>
              </w:numPr>
              <w:textAlignment w:val="baseline"/>
              <w:rPr>
                <w:rFonts w:eastAsia="Times New Roman" w:cstheme="minorHAnsi"/>
                <w:kern w:val="0"/>
                <w:lang w:eastAsia="en-GB"/>
                <w14:ligatures w14:val="none"/>
              </w:rPr>
            </w:pPr>
            <w:r w:rsidRPr="009604AA">
              <w:rPr>
                <w:rFonts w:eastAsia="Times New Roman" w:cstheme="minorHAnsi"/>
                <w:kern w:val="0"/>
                <w:lang w:eastAsia="en-GB"/>
                <w14:ligatures w14:val="none"/>
              </w:rPr>
              <w:t>Adapting current risk management frameworks to incorporate climate risks demands substantial operational changes. These changes can be resource-intensive, especially for smaller entities that may have limited capacity to manage such transitions effectively.</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2B4DC9E5" w:rsidR="00FE0EA5" w:rsidRPr="009C4D10" w:rsidRDefault="007D2858" w:rsidP="00CF2E7C">
            <w:pPr>
              <w:rPr>
                <w:rFonts w:cstheme="minorHAnsi"/>
              </w:rPr>
            </w:pPr>
            <w:r>
              <w:rPr>
                <w:rFonts w:cstheme="minorHAnsi"/>
                <w:lang w:val="en-SG"/>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18E3865E" w:rsidR="00FE0EA5" w:rsidRPr="009C4D10" w:rsidRDefault="007D2858" w:rsidP="00CF2E7C">
            <w:pPr>
              <w:rPr>
                <w:rFonts w:cstheme="minorHAnsi"/>
              </w:rPr>
            </w:pPr>
            <w:r>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7C7BEA" w:rsidP="00CF2E7C">
            <w:pPr>
              <w:rPr>
                <w:rFonts w:cstheme="minorHAnsi"/>
              </w:rPr>
            </w:pPr>
            <w:hyperlink r:id="rId17"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6BA68496" w:rsidR="00FE0EA5" w:rsidRPr="009C4D10" w:rsidRDefault="007D2858" w:rsidP="00CF2E7C">
            <w:pPr>
              <w:rPr>
                <w:rFonts w:cstheme="minorHAnsi"/>
              </w:rPr>
            </w:pPr>
            <w:r>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7C7BEA" w:rsidP="00CF2E7C">
            <w:pPr>
              <w:rPr>
                <w:rFonts w:cstheme="minorHAnsi"/>
              </w:rPr>
            </w:pPr>
            <w:hyperlink r:id="rId18"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27CF28A9" w:rsidR="00FE0EA5" w:rsidRPr="009C4D10" w:rsidRDefault="007D2858" w:rsidP="00CF2E7C">
            <w:pPr>
              <w:rPr>
                <w:rFonts w:cstheme="minorHAnsi"/>
              </w:rPr>
            </w:pPr>
            <w:r>
              <w:rPr>
                <w:rFonts w:cstheme="minorHAnsi"/>
                <w:lang w:val="en-SG"/>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2A582CEC" w:rsidR="00FE0EA5" w:rsidRPr="009C4D10" w:rsidRDefault="007D2858" w:rsidP="00CF2E7C">
            <w:pPr>
              <w:rPr>
                <w:rFonts w:cstheme="minorHAnsi"/>
              </w:rPr>
            </w:pPr>
            <w:r>
              <w:rPr>
                <w:rFonts w:cstheme="minorHAnsi"/>
                <w:lang w:val="en-SG"/>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4D59B92A" w:rsidR="00FE0EA5" w:rsidRPr="009C4D10" w:rsidRDefault="007D2858" w:rsidP="00CF2E7C">
            <w:pPr>
              <w:rPr>
                <w:rFonts w:cstheme="minorHAnsi"/>
              </w:rPr>
            </w:pPr>
            <w:r>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478D4E22" w:rsidR="00FE0EA5" w:rsidRPr="009C4D10" w:rsidRDefault="007D2858" w:rsidP="00CF2E7C">
            <w:pPr>
              <w:rPr>
                <w:rFonts w:cstheme="minorHAnsi"/>
              </w:rPr>
            </w:pPr>
            <w:r>
              <w:rPr>
                <w:rFonts w:cstheme="minorHAnsi"/>
                <w:lang w:val="en-SG"/>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6324F8"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0560FF" w:rsidRDefault="002F0752" w:rsidP="00CF2E7C">
            <w:pPr>
              <w:rPr>
                <w:rFonts w:ascii="Calibri" w:hAnsi="Calibri" w:cs="Calibri"/>
                <w:lang w:val="fr-FR"/>
              </w:rPr>
            </w:pPr>
            <w:r w:rsidRPr="000560FF">
              <w:rPr>
                <w:rFonts w:ascii="Calibri" w:hAnsi="Calibri" w:cs="Calibri"/>
                <w:lang w:val="fr-FR"/>
              </w:rPr>
              <w:t>Minimum revenue (Enter minimum revenue)</w:t>
            </w:r>
          </w:p>
        </w:tc>
        <w:tc>
          <w:tcPr>
            <w:tcW w:w="4447" w:type="dxa"/>
            <w:gridSpan w:val="3"/>
            <w:vAlign w:val="center"/>
          </w:tcPr>
          <w:p w14:paraId="63712777" w14:textId="77777777" w:rsidR="002F0752" w:rsidRPr="000560FF"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BE1B8" w14:textId="77777777" w:rsidR="00D23136" w:rsidRDefault="00D23136" w:rsidP="00874E39">
      <w:r>
        <w:separator/>
      </w:r>
    </w:p>
  </w:endnote>
  <w:endnote w:type="continuationSeparator" w:id="0">
    <w:p w14:paraId="0851DA99" w14:textId="77777777" w:rsidR="00D23136" w:rsidRDefault="00D23136" w:rsidP="00874E39">
      <w:r>
        <w:continuationSeparator/>
      </w:r>
    </w:p>
  </w:endnote>
  <w:endnote w:type="continuationNotice" w:id="1">
    <w:p w14:paraId="5DD1DB79" w14:textId="77777777" w:rsidR="00D23136" w:rsidRDefault="00D231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D48999" w14:textId="77777777" w:rsidR="00D23136" w:rsidRDefault="00D23136" w:rsidP="00874E39">
      <w:r>
        <w:separator/>
      </w:r>
    </w:p>
  </w:footnote>
  <w:footnote w:type="continuationSeparator" w:id="0">
    <w:p w14:paraId="36A4F1A8" w14:textId="77777777" w:rsidR="00D23136" w:rsidRDefault="00D23136" w:rsidP="00874E39">
      <w:r>
        <w:continuationSeparator/>
      </w:r>
    </w:p>
  </w:footnote>
  <w:footnote w:type="continuationNotice" w:id="1">
    <w:p w14:paraId="17429B5A" w14:textId="77777777" w:rsidR="00D23136" w:rsidRDefault="00D2313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79271D"/>
    <w:multiLevelType w:val="hybridMultilevel"/>
    <w:tmpl w:val="933E26B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85A054F"/>
    <w:multiLevelType w:val="hybridMultilevel"/>
    <w:tmpl w:val="B04A92E6"/>
    <w:lvl w:ilvl="0" w:tplc="1E96C898">
      <w:start w:val="1"/>
      <w:numFmt w:val="lowerRoman"/>
      <w:lvlText w:val="(%1)"/>
      <w:lvlJc w:val="left"/>
      <w:pPr>
        <w:ind w:left="1080" w:hanging="720"/>
      </w:pPr>
      <w:rPr>
        <w:rFonts w:hint="default"/>
        <w:i w:val="0"/>
        <w:iCs/>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3F682E57"/>
    <w:multiLevelType w:val="multilevel"/>
    <w:tmpl w:val="EC7298C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2C55F70"/>
    <w:multiLevelType w:val="multilevel"/>
    <w:tmpl w:val="3C0CEC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6"/>
  </w:num>
  <w:num w:numId="3" w16cid:durableId="690952733">
    <w:abstractNumId w:val="45"/>
  </w:num>
  <w:num w:numId="4" w16cid:durableId="1689330127">
    <w:abstractNumId w:val="1"/>
  </w:num>
  <w:num w:numId="5" w16cid:durableId="401291788">
    <w:abstractNumId w:val="31"/>
  </w:num>
  <w:num w:numId="6" w16cid:durableId="1276788690">
    <w:abstractNumId w:val="14"/>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1"/>
  </w:num>
  <w:num w:numId="12" w16cid:durableId="1344891410">
    <w:abstractNumId w:val="10"/>
  </w:num>
  <w:num w:numId="13" w16cid:durableId="2023899324">
    <w:abstractNumId w:val="12"/>
  </w:num>
  <w:num w:numId="14" w16cid:durableId="430587014">
    <w:abstractNumId w:val="8"/>
  </w:num>
  <w:num w:numId="15" w16cid:durableId="1742869061">
    <w:abstractNumId w:val="33"/>
  </w:num>
  <w:num w:numId="16" w16cid:durableId="1996450437">
    <w:abstractNumId w:val="20"/>
  </w:num>
  <w:num w:numId="17" w16cid:durableId="1529031027">
    <w:abstractNumId w:val="9"/>
  </w:num>
  <w:num w:numId="18" w16cid:durableId="568614617">
    <w:abstractNumId w:val="18"/>
  </w:num>
  <w:num w:numId="19" w16cid:durableId="1530605858">
    <w:abstractNumId w:val="46"/>
  </w:num>
  <w:num w:numId="20" w16cid:durableId="1328172586">
    <w:abstractNumId w:val="16"/>
  </w:num>
  <w:num w:numId="21" w16cid:durableId="184827816">
    <w:abstractNumId w:val="30"/>
  </w:num>
  <w:num w:numId="22" w16cid:durableId="1785346599">
    <w:abstractNumId w:val="36"/>
  </w:num>
  <w:num w:numId="23" w16cid:durableId="1294288901">
    <w:abstractNumId w:val="29"/>
  </w:num>
  <w:num w:numId="24" w16cid:durableId="1603957975">
    <w:abstractNumId w:val="48"/>
  </w:num>
  <w:num w:numId="25" w16cid:durableId="1659531047">
    <w:abstractNumId w:val="47"/>
  </w:num>
  <w:num w:numId="26" w16cid:durableId="752774403">
    <w:abstractNumId w:val="25"/>
  </w:num>
  <w:num w:numId="27" w16cid:durableId="347872198">
    <w:abstractNumId w:val="7"/>
  </w:num>
  <w:num w:numId="28" w16cid:durableId="537133110">
    <w:abstractNumId w:val="13"/>
  </w:num>
  <w:num w:numId="29" w16cid:durableId="1632318729">
    <w:abstractNumId w:val="49"/>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5"/>
  </w:num>
  <w:num w:numId="38" w16cid:durableId="2033795929">
    <w:abstractNumId w:val="2"/>
  </w:num>
  <w:num w:numId="39" w16cid:durableId="1238595582">
    <w:abstractNumId w:val="27"/>
  </w:num>
  <w:num w:numId="40" w16cid:durableId="416558262">
    <w:abstractNumId w:val="23"/>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3"/>
  </w:num>
  <w:num w:numId="46" w16cid:durableId="947811845">
    <w:abstractNumId w:val="50"/>
  </w:num>
  <w:num w:numId="47" w16cid:durableId="342588554">
    <w:abstractNumId w:val="28"/>
  </w:num>
  <w:num w:numId="48" w16cid:durableId="318391343">
    <w:abstractNumId w:val="39"/>
  </w:num>
  <w:num w:numId="49" w16cid:durableId="934826621">
    <w:abstractNumId w:val="44"/>
  </w:num>
  <w:num w:numId="50" w16cid:durableId="1880777875">
    <w:abstractNumId w:val="24"/>
  </w:num>
  <w:num w:numId="51" w16cid:durableId="1764104416">
    <w:abstractNumId w:val="21"/>
  </w:num>
  <w:num w:numId="52" w16cid:durableId="670375177">
    <w:abstractNumId w:val="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939"/>
    <w:rsid w:val="00016AF3"/>
    <w:rsid w:val="00021C84"/>
    <w:rsid w:val="000235A5"/>
    <w:rsid w:val="000237AB"/>
    <w:rsid w:val="00024B36"/>
    <w:rsid w:val="00024B46"/>
    <w:rsid w:val="000255B7"/>
    <w:rsid w:val="00025699"/>
    <w:rsid w:val="00026348"/>
    <w:rsid w:val="00027241"/>
    <w:rsid w:val="00027314"/>
    <w:rsid w:val="00027BB2"/>
    <w:rsid w:val="00027D03"/>
    <w:rsid w:val="00030C1E"/>
    <w:rsid w:val="000334B6"/>
    <w:rsid w:val="0003453A"/>
    <w:rsid w:val="00034EDB"/>
    <w:rsid w:val="00035464"/>
    <w:rsid w:val="00035A82"/>
    <w:rsid w:val="000372C9"/>
    <w:rsid w:val="000403CE"/>
    <w:rsid w:val="00040F2E"/>
    <w:rsid w:val="00040F48"/>
    <w:rsid w:val="00041BB2"/>
    <w:rsid w:val="00042406"/>
    <w:rsid w:val="00042518"/>
    <w:rsid w:val="000428FA"/>
    <w:rsid w:val="000449A7"/>
    <w:rsid w:val="000463AE"/>
    <w:rsid w:val="00046B6B"/>
    <w:rsid w:val="00046F63"/>
    <w:rsid w:val="00047A6C"/>
    <w:rsid w:val="00047A9C"/>
    <w:rsid w:val="00050BDF"/>
    <w:rsid w:val="000526BB"/>
    <w:rsid w:val="00052CA3"/>
    <w:rsid w:val="000555DB"/>
    <w:rsid w:val="000560FF"/>
    <w:rsid w:val="0006062B"/>
    <w:rsid w:val="000607C0"/>
    <w:rsid w:val="000609A8"/>
    <w:rsid w:val="00061CCB"/>
    <w:rsid w:val="00062223"/>
    <w:rsid w:val="00062526"/>
    <w:rsid w:val="00063556"/>
    <w:rsid w:val="00064195"/>
    <w:rsid w:val="00064FDB"/>
    <w:rsid w:val="00065A4A"/>
    <w:rsid w:val="0006692A"/>
    <w:rsid w:val="00067899"/>
    <w:rsid w:val="00067E05"/>
    <w:rsid w:val="000702AA"/>
    <w:rsid w:val="000704DB"/>
    <w:rsid w:val="00071C1F"/>
    <w:rsid w:val="00072965"/>
    <w:rsid w:val="000741AB"/>
    <w:rsid w:val="0007502A"/>
    <w:rsid w:val="00075B10"/>
    <w:rsid w:val="000779A3"/>
    <w:rsid w:val="0008098C"/>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59DD"/>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014"/>
    <w:rsid w:val="000D213B"/>
    <w:rsid w:val="000D223D"/>
    <w:rsid w:val="000D5049"/>
    <w:rsid w:val="000D69EB"/>
    <w:rsid w:val="000D7158"/>
    <w:rsid w:val="000D727C"/>
    <w:rsid w:val="000D7472"/>
    <w:rsid w:val="000E0220"/>
    <w:rsid w:val="000E0404"/>
    <w:rsid w:val="000E14E6"/>
    <w:rsid w:val="000E1816"/>
    <w:rsid w:val="000E310E"/>
    <w:rsid w:val="000E3B90"/>
    <w:rsid w:val="000E3D35"/>
    <w:rsid w:val="000E6110"/>
    <w:rsid w:val="000E6A6A"/>
    <w:rsid w:val="000E7A8A"/>
    <w:rsid w:val="000F3D13"/>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AA5"/>
    <w:rsid w:val="00124C48"/>
    <w:rsid w:val="00132315"/>
    <w:rsid w:val="001325C6"/>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57816"/>
    <w:rsid w:val="0016002C"/>
    <w:rsid w:val="00160486"/>
    <w:rsid w:val="001604B3"/>
    <w:rsid w:val="00161D1B"/>
    <w:rsid w:val="00162CC0"/>
    <w:rsid w:val="00164519"/>
    <w:rsid w:val="00164D9A"/>
    <w:rsid w:val="00172B85"/>
    <w:rsid w:val="0017324E"/>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B2B"/>
    <w:rsid w:val="00197E06"/>
    <w:rsid w:val="001A0537"/>
    <w:rsid w:val="001A11A7"/>
    <w:rsid w:val="001A38BD"/>
    <w:rsid w:val="001A4045"/>
    <w:rsid w:val="001A4372"/>
    <w:rsid w:val="001A473D"/>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3C89"/>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C9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6C8"/>
    <w:rsid w:val="0021535C"/>
    <w:rsid w:val="0021729E"/>
    <w:rsid w:val="00220F36"/>
    <w:rsid w:val="0022263C"/>
    <w:rsid w:val="00222757"/>
    <w:rsid w:val="00222DFA"/>
    <w:rsid w:val="00222E01"/>
    <w:rsid w:val="0022414E"/>
    <w:rsid w:val="00224D9E"/>
    <w:rsid w:val="00226338"/>
    <w:rsid w:val="0023001C"/>
    <w:rsid w:val="002303CF"/>
    <w:rsid w:val="002317BC"/>
    <w:rsid w:val="0023229A"/>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3F94"/>
    <w:rsid w:val="00264CBC"/>
    <w:rsid w:val="0026588F"/>
    <w:rsid w:val="0026642F"/>
    <w:rsid w:val="002679A5"/>
    <w:rsid w:val="0027067C"/>
    <w:rsid w:val="00270A4D"/>
    <w:rsid w:val="00270F84"/>
    <w:rsid w:val="00272C54"/>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9"/>
    <w:rsid w:val="002C060D"/>
    <w:rsid w:val="002C0DCE"/>
    <w:rsid w:val="002C1274"/>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0ED"/>
    <w:rsid w:val="002E1EE8"/>
    <w:rsid w:val="002E2C07"/>
    <w:rsid w:val="002E41E2"/>
    <w:rsid w:val="002E46B9"/>
    <w:rsid w:val="002E54AE"/>
    <w:rsid w:val="002E5ACB"/>
    <w:rsid w:val="002E6DEC"/>
    <w:rsid w:val="002E6F4E"/>
    <w:rsid w:val="002E7BF5"/>
    <w:rsid w:val="002F0752"/>
    <w:rsid w:val="002F1ABB"/>
    <w:rsid w:val="002F359D"/>
    <w:rsid w:val="002F3FDE"/>
    <w:rsid w:val="002F435A"/>
    <w:rsid w:val="002F4EC2"/>
    <w:rsid w:val="002F51F3"/>
    <w:rsid w:val="002F5320"/>
    <w:rsid w:val="002F5D09"/>
    <w:rsid w:val="0030033C"/>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12D"/>
    <w:rsid w:val="003310EC"/>
    <w:rsid w:val="00331C00"/>
    <w:rsid w:val="00332B1B"/>
    <w:rsid w:val="00334282"/>
    <w:rsid w:val="003363CC"/>
    <w:rsid w:val="0033659B"/>
    <w:rsid w:val="0033727F"/>
    <w:rsid w:val="00340521"/>
    <w:rsid w:val="003421A5"/>
    <w:rsid w:val="003423AA"/>
    <w:rsid w:val="00343665"/>
    <w:rsid w:val="00343937"/>
    <w:rsid w:val="00344A7D"/>
    <w:rsid w:val="00344B03"/>
    <w:rsid w:val="00345042"/>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65E"/>
    <w:rsid w:val="0036091A"/>
    <w:rsid w:val="00360C57"/>
    <w:rsid w:val="00360F12"/>
    <w:rsid w:val="00360F42"/>
    <w:rsid w:val="003618D4"/>
    <w:rsid w:val="003620CE"/>
    <w:rsid w:val="00362AF9"/>
    <w:rsid w:val="00362B1D"/>
    <w:rsid w:val="00362D60"/>
    <w:rsid w:val="00363218"/>
    <w:rsid w:val="00363320"/>
    <w:rsid w:val="003634F2"/>
    <w:rsid w:val="0036363F"/>
    <w:rsid w:val="003636B2"/>
    <w:rsid w:val="003647F4"/>
    <w:rsid w:val="0036671B"/>
    <w:rsid w:val="00366778"/>
    <w:rsid w:val="003676DE"/>
    <w:rsid w:val="0036779C"/>
    <w:rsid w:val="0037279B"/>
    <w:rsid w:val="00372AEE"/>
    <w:rsid w:val="00374229"/>
    <w:rsid w:val="003744D6"/>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6CD"/>
    <w:rsid w:val="003A4A9F"/>
    <w:rsid w:val="003A52E3"/>
    <w:rsid w:val="003A5B03"/>
    <w:rsid w:val="003B0628"/>
    <w:rsid w:val="003B30D0"/>
    <w:rsid w:val="003B3C0F"/>
    <w:rsid w:val="003B4DD6"/>
    <w:rsid w:val="003B4F81"/>
    <w:rsid w:val="003B539A"/>
    <w:rsid w:val="003B5B6C"/>
    <w:rsid w:val="003B66F6"/>
    <w:rsid w:val="003B67CD"/>
    <w:rsid w:val="003B7854"/>
    <w:rsid w:val="003C16DA"/>
    <w:rsid w:val="003C5BA2"/>
    <w:rsid w:val="003D11DE"/>
    <w:rsid w:val="003D17C7"/>
    <w:rsid w:val="003D1B49"/>
    <w:rsid w:val="003D1CF3"/>
    <w:rsid w:val="003D207B"/>
    <w:rsid w:val="003D244B"/>
    <w:rsid w:val="003D2F57"/>
    <w:rsid w:val="003D3574"/>
    <w:rsid w:val="003D4F6F"/>
    <w:rsid w:val="003D5104"/>
    <w:rsid w:val="003D56A4"/>
    <w:rsid w:val="003D6DA5"/>
    <w:rsid w:val="003E037B"/>
    <w:rsid w:val="003E38C7"/>
    <w:rsid w:val="003E43FE"/>
    <w:rsid w:val="003E7DD6"/>
    <w:rsid w:val="003F0184"/>
    <w:rsid w:val="003F1282"/>
    <w:rsid w:val="003F1C8E"/>
    <w:rsid w:val="003F1E87"/>
    <w:rsid w:val="003F2098"/>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6683"/>
    <w:rsid w:val="004205C2"/>
    <w:rsid w:val="00422087"/>
    <w:rsid w:val="004222DF"/>
    <w:rsid w:val="00425FEF"/>
    <w:rsid w:val="00426919"/>
    <w:rsid w:val="00427085"/>
    <w:rsid w:val="00430927"/>
    <w:rsid w:val="00430E44"/>
    <w:rsid w:val="00432DF0"/>
    <w:rsid w:val="00432E52"/>
    <w:rsid w:val="00433033"/>
    <w:rsid w:val="004333DA"/>
    <w:rsid w:val="00433446"/>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06C"/>
    <w:rsid w:val="004711F3"/>
    <w:rsid w:val="0047264C"/>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187"/>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71A"/>
    <w:rsid w:val="004C1CCE"/>
    <w:rsid w:val="004C20B7"/>
    <w:rsid w:val="004C3866"/>
    <w:rsid w:val="004C3A52"/>
    <w:rsid w:val="004C4C9E"/>
    <w:rsid w:val="004C6739"/>
    <w:rsid w:val="004C70AC"/>
    <w:rsid w:val="004D2730"/>
    <w:rsid w:val="004D3416"/>
    <w:rsid w:val="004D5810"/>
    <w:rsid w:val="004D6484"/>
    <w:rsid w:val="004D7C53"/>
    <w:rsid w:val="004E2A41"/>
    <w:rsid w:val="004E4F56"/>
    <w:rsid w:val="004E51B5"/>
    <w:rsid w:val="004E667D"/>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68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21E0"/>
    <w:rsid w:val="00563224"/>
    <w:rsid w:val="00563432"/>
    <w:rsid w:val="00566FDB"/>
    <w:rsid w:val="00570082"/>
    <w:rsid w:val="00571BA3"/>
    <w:rsid w:val="005722D9"/>
    <w:rsid w:val="005733AF"/>
    <w:rsid w:val="00574C66"/>
    <w:rsid w:val="005758ED"/>
    <w:rsid w:val="00575D67"/>
    <w:rsid w:val="00576C68"/>
    <w:rsid w:val="00576ED8"/>
    <w:rsid w:val="005774C5"/>
    <w:rsid w:val="00577D54"/>
    <w:rsid w:val="00580679"/>
    <w:rsid w:val="0058109E"/>
    <w:rsid w:val="00582798"/>
    <w:rsid w:val="00582995"/>
    <w:rsid w:val="00584EE1"/>
    <w:rsid w:val="005867B2"/>
    <w:rsid w:val="00586A0A"/>
    <w:rsid w:val="005870D5"/>
    <w:rsid w:val="00587FAE"/>
    <w:rsid w:val="005900AD"/>
    <w:rsid w:val="005923CF"/>
    <w:rsid w:val="00592CDE"/>
    <w:rsid w:val="005938A6"/>
    <w:rsid w:val="005946B7"/>
    <w:rsid w:val="00595185"/>
    <w:rsid w:val="0059609B"/>
    <w:rsid w:val="00596289"/>
    <w:rsid w:val="00596AEF"/>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36B4"/>
    <w:rsid w:val="005B4539"/>
    <w:rsid w:val="005C327C"/>
    <w:rsid w:val="005C4420"/>
    <w:rsid w:val="005C5681"/>
    <w:rsid w:val="005C6A1D"/>
    <w:rsid w:val="005C765C"/>
    <w:rsid w:val="005C7DF6"/>
    <w:rsid w:val="005D02C9"/>
    <w:rsid w:val="005D1868"/>
    <w:rsid w:val="005D2DEA"/>
    <w:rsid w:val="005D55BE"/>
    <w:rsid w:val="005D7C10"/>
    <w:rsid w:val="005D7CD4"/>
    <w:rsid w:val="005E0296"/>
    <w:rsid w:val="005E264E"/>
    <w:rsid w:val="005E2F27"/>
    <w:rsid w:val="005E50FD"/>
    <w:rsid w:val="005E603A"/>
    <w:rsid w:val="005E62F9"/>
    <w:rsid w:val="005E6D04"/>
    <w:rsid w:val="005E78BA"/>
    <w:rsid w:val="005F0176"/>
    <w:rsid w:val="005F0524"/>
    <w:rsid w:val="005F1EF0"/>
    <w:rsid w:val="005F2454"/>
    <w:rsid w:val="005F2B91"/>
    <w:rsid w:val="005F2D73"/>
    <w:rsid w:val="005F2EA1"/>
    <w:rsid w:val="005F3137"/>
    <w:rsid w:val="005F444D"/>
    <w:rsid w:val="005F4990"/>
    <w:rsid w:val="005F4B1C"/>
    <w:rsid w:val="005F4D8C"/>
    <w:rsid w:val="005F6ABA"/>
    <w:rsid w:val="005F7A89"/>
    <w:rsid w:val="005F7AC4"/>
    <w:rsid w:val="00601397"/>
    <w:rsid w:val="0060224F"/>
    <w:rsid w:val="00602D74"/>
    <w:rsid w:val="0060378D"/>
    <w:rsid w:val="00603B3F"/>
    <w:rsid w:val="0060415B"/>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76D"/>
    <w:rsid w:val="00626B40"/>
    <w:rsid w:val="00630D85"/>
    <w:rsid w:val="006317B0"/>
    <w:rsid w:val="00631996"/>
    <w:rsid w:val="00631AAB"/>
    <w:rsid w:val="006321A7"/>
    <w:rsid w:val="006324F8"/>
    <w:rsid w:val="00633547"/>
    <w:rsid w:val="00633612"/>
    <w:rsid w:val="00633E8C"/>
    <w:rsid w:val="0063488C"/>
    <w:rsid w:val="00634FEB"/>
    <w:rsid w:val="00636096"/>
    <w:rsid w:val="00637FAE"/>
    <w:rsid w:val="0064134E"/>
    <w:rsid w:val="00641484"/>
    <w:rsid w:val="00641E18"/>
    <w:rsid w:val="00641ECB"/>
    <w:rsid w:val="006422ED"/>
    <w:rsid w:val="00643D82"/>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4A"/>
    <w:rsid w:val="00671EA4"/>
    <w:rsid w:val="006736BC"/>
    <w:rsid w:val="006746D5"/>
    <w:rsid w:val="0067532A"/>
    <w:rsid w:val="00675752"/>
    <w:rsid w:val="006770B7"/>
    <w:rsid w:val="006801E4"/>
    <w:rsid w:val="006821D4"/>
    <w:rsid w:val="00683A9D"/>
    <w:rsid w:val="00683DB5"/>
    <w:rsid w:val="006840CD"/>
    <w:rsid w:val="00685A4F"/>
    <w:rsid w:val="006878AC"/>
    <w:rsid w:val="00690B2A"/>
    <w:rsid w:val="006936EF"/>
    <w:rsid w:val="006943E9"/>
    <w:rsid w:val="00694A4F"/>
    <w:rsid w:val="00695F64"/>
    <w:rsid w:val="00696548"/>
    <w:rsid w:val="00696682"/>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089"/>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5415"/>
    <w:rsid w:val="006F7123"/>
    <w:rsid w:val="0070013E"/>
    <w:rsid w:val="00702413"/>
    <w:rsid w:val="00702929"/>
    <w:rsid w:val="00702E5A"/>
    <w:rsid w:val="00703034"/>
    <w:rsid w:val="007032D7"/>
    <w:rsid w:val="007055F4"/>
    <w:rsid w:val="00705948"/>
    <w:rsid w:val="00705ADE"/>
    <w:rsid w:val="007066F4"/>
    <w:rsid w:val="00707D5E"/>
    <w:rsid w:val="00707F76"/>
    <w:rsid w:val="00710725"/>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1DE"/>
    <w:rsid w:val="00756E62"/>
    <w:rsid w:val="007600D1"/>
    <w:rsid w:val="0076064B"/>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0DF"/>
    <w:rsid w:val="00777550"/>
    <w:rsid w:val="00777BF4"/>
    <w:rsid w:val="00777E1D"/>
    <w:rsid w:val="007802C6"/>
    <w:rsid w:val="007807DE"/>
    <w:rsid w:val="00782ABB"/>
    <w:rsid w:val="00782B03"/>
    <w:rsid w:val="00783F69"/>
    <w:rsid w:val="00784C23"/>
    <w:rsid w:val="0078610D"/>
    <w:rsid w:val="007866CF"/>
    <w:rsid w:val="00786AC9"/>
    <w:rsid w:val="00786B36"/>
    <w:rsid w:val="00786EC4"/>
    <w:rsid w:val="00790CCA"/>
    <w:rsid w:val="00791ED5"/>
    <w:rsid w:val="00792AC3"/>
    <w:rsid w:val="00793615"/>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6FA"/>
    <w:rsid w:val="007A7701"/>
    <w:rsid w:val="007B1BB0"/>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0CB"/>
    <w:rsid w:val="007C5200"/>
    <w:rsid w:val="007C77AA"/>
    <w:rsid w:val="007D2858"/>
    <w:rsid w:val="007D33C4"/>
    <w:rsid w:val="007D3472"/>
    <w:rsid w:val="007D366D"/>
    <w:rsid w:val="007D4EBE"/>
    <w:rsid w:val="007D5868"/>
    <w:rsid w:val="007D61F4"/>
    <w:rsid w:val="007D660F"/>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191"/>
    <w:rsid w:val="007F4B4B"/>
    <w:rsid w:val="007F51CC"/>
    <w:rsid w:val="007F62B0"/>
    <w:rsid w:val="007F6DD7"/>
    <w:rsid w:val="007F71BD"/>
    <w:rsid w:val="007F7D9C"/>
    <w:rsid w:val="008017F9"/>
    <w:rsid w:val="0080196E"/>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3E7D"/>
    <w:rsid w:val="00815729"/>
    <w:rsid w:val="00815AAB"/>
    <w:rsid w:val="00816D92"/>
    <w:rsid w:val="00816F1B"/>
    <w:rsid w:val="00820D9F"/>
    <w:rsid w:val="00822032"/>
    <w:rsid w:val="008247E4"/>
    <w:rsid w:val="0082488A"/>
    <w:rsid w:val="0082674B"/>
    <w:rsid w:val="008273C0"/>
    <w:rsid w:val="008274B1"/>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6F8D"/>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105"/>
    <w:rsid w:val="008959CD"/>
    <w:rsid w:val="00896A1E"/>
    <w:rsid w:val="00897600"/>
    <w:rsid w:val="008A0461"/>
    <w:rsid w:val="008A093D"/>
    <w:rsid w:val="008A16B3"/>
    <w:rsid w:val="008A1DDE"/>
    <w:rsid w:val="008A207F"/>
    <w:rsid w:val="008A345E"/>
    <w:rsid w:val="008A4685"/>
    <w:rsid w:val="008A4ACE"/>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5558"/>
    <w:rsid w:val="008C5D93"/>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ACD"/>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253"/>
    <w:rsid w:val="00944526"/>
    <w:rsid w:val="009462FE"/>
    <w:rsid w:val="00946B7A"/>
    <w:rsid w:val="00946D94"/>
    <w:rsid w:val="009471BC"/>
    <w:rsid w:val="00947D8F"/>
    <w:rsid w:val="00950AB0"/>
    <w:rsid w:val="00950B68"/>
    <w:rsid w:val="00951BBE"/>
    <w:rsid w:val="0095260A"/>
    <w:rsid w:val="00952AB2"/>
    <w:rsid w:val="00952FEB"/>
    <w:rsid w:val="00953E75"/>
    <w:rsid w:val="00954BFB"/>
    <w:rsid w:val="00955554"/>
    <w:rsid w:val="009556EA"/>
    <w:rsid w:val="00955BFF"/>
    <w:rsid w:val="00956390"/>
    <w:rsid w:val="00956A8D"/>
    <w:rsid w:val="0095736B"/>
    <w:rsid w:val="009604AA"/>
    <w:rsid w:val="00960F14"/>
    <w:rsid w:val="009612D3"/>
    <w:rsid w:val="00962064"/>
    <w:rsid w:val="00962F14"/>
    <w:rsid w:val="00963A39"/>
    <w:rsid w:val="00963DC5"/>
    <w:rsid w:val="009649F8"/>
    <w:rsid w:val="00965F2B"/>
    <w:rsid w:val="00966139"/>
    <w:rsid w:val="00966160"/>
    <w:rsid w:val="00966C8D"/>
    <w:rsid w:val="0097030B"/>
    <w:rsid w:val="0097093E"/>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2AC"/>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7DA"/>
    <w:rsid w:val="009A4BC9"/>
    <w:rsid w:val="009A50A0"/>
    <w:rsid w:val="009A5C4E"/>
    <w:rsid w:val="009A639D"/>
    <w:rsid w:val="009A66B8"/>
    <w:rsid w:val="009A6D57"/>
    <w:rsid w:val="009B2D9B"/>
    <w:rsid w:val="009B4028"/>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7B5"/>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3BF2"/>
    <w:rsid w:val="00A441FF"/>
    <w:rsid w:val="00A445CD"/>
    <w:rsid w:val="00A45776"/>
    <w:rsid w:val="00A46507"/>
    <w:rsid w:val="00A46BEA"/>
    <w:rsid w:val="00A47C6E"/>
    <w:rsid w:val="00A501D9"/>
    <w:rsid w:val="00A503F1"/>
    <w:rsid w:val="00A50878"/>
    <w:rsid w:val="00A53328"/>
    <w:rsid w:val="00A5358D"/>
    <w:rsid w:val="00A53874"/>
    <w:rsid w:val="00A55B4D"/>
    <w:rsid w:val="00A55B96"/>
    <w:rsid w:val="00A56BE5"/>
    <w:rsid w:val="00A56DE0"/>
    <w:rsid w:val="00A57E93"/>
    <w:rsid w:val="00A60DA8"/>
    <w:rsid w:val="00A6137C"/>
    <w:rsid w:val="00A615A6"/>
    <w:rsid w:val="00A623D0"/>
    <w:rsid w:val="00A631EB"/>
    <w:rsid w:val="00A7100A"/>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310D"/>
    <w:rsid w:val="00AC6212"/>
    <w:rsid w:val="00AC6ECF"/>
    <w:rsid w:val="00AC7B6B"/>
    <w:rsid w:val="00AD1216"/>
    <w:rsid w:val="00AD1BC7"/>
    <w:rsid w:val="00AD4477"/>
    <w:rsid w:val="00AD4F51"/>
    <w:rsid w:val="00AD5285"/>
    <w:rsid w:val="00AD54D3"/>
    <w:rsid w:val="00AD70E0"/>
    <w:rsid w:val="00AD72E9"/>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042"/>
    <w:rsid w:val="00B16155"/>
    <w:rsid w:val="00B171FD"/>
    <w:rsid w:val="00B17588"/>
    <w:rsid w:val="00B17FBC"/>
    <w:rsid w:val="00B200F9"/>
    <w:rsid w:val="00B20D58"/>
    <w:rsid w:val="00B22535"/>
    <w:rsid w:val="00B2441D"/>
    <w:rsid w:val="00B24E10"/>
    <w:rsid w:val="00B25E7E"/>
    <w:rsid w:val="00B2670C"/>
    <w:rsid w:val="00B310C1"/>
    <w:rsid w:val="00B31956"/>
    <w:rsid w:val="00B32231"/>
    <w:rsid w:val="00B33B4B"/>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CEF"/>
    <w:rsid w:val="00B61D29"/>
    <w:rsid w:val="00B62F6C"/>
    <w:rsid w:val="00B634F2"/>
    <w:rsid w:val="00B65F11"/>
    <w:rsid w:val="00B673AC"/>
    <w:rsid w:val="00B6777F"/>
    <w:rsid w:val="00B706A6"/>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5BAE"/>
    <w:rsid w:val="00BA01DD"/>
    <w:rsid w:val="00BA08E0"/>
    <w:rsid w:val="00BA118E"/>
    <w:rsid w:val="00BA1D39"/>
    <w:rsid w:val="00BA3247"/>
    <w:rsid w:val="00BA4481"/>
    <w:rsid w:val="00BA4FFC"/>
    <w:rsid w:val="00BA5207"/>
    <w:rsid w:val="00BA5A30"/>
    <w:rsid w:val="00BA5F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C41"/>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09E3"/>
    <w:rsid w:val="00BF10BB"/>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51A6"/>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0A3"/>
    <w:rsid w:val="00C57511"/>
    <w:rsid w:val="00C6146F"/>
    <w:rsid w:val="00C61C25"/>
    <w:rsid w:val="00C62AF0"/>
    <w:rsid w:val="00C636BA"/>
    <w:rsid w:val="00C63A43"/>
    <w:rsid w:val="00C642B8"/>
    <w:rsid w:val="00C648D8"/>
    <w:rsid w:val="00C65DA8"/>
    <w:rsid w:val="00C65FC7"/>
    <w:rsid w:val="00C6612A"/>
    <w:rsid w:val="00C6668B"/>
    <w:rsid w:val="00C666FB"/>
    <w:rsid w:val="00C66EE0"/>
    <w:rsid w:val="00C671B1"/>
    <w:rsid w:val="00C6780B"/>
    <w:rsid w:val="00C67B5F"/>
    <w:rsid w:val="00C6D1CB"/>
    <w:rsid w:val="00C700B7"/>
    <w:rsid w:val="00C70434"/>
    <w:rsid w:val="00C71045"/>
    <w:rsid w:val="00C711D3"/>
    <w:rsid w:val="00C72EC1"/>
    <w:rsid w:val="00C72FA9"/>
    <w:rsid w:val="00C73FAD"/>
    <w:rsid w:val="00C74636"/>
    <w:rsid w:val="00C74D69"/>
    <w:rsid w:val="00C75536"/>
    <w:rsid w:val="00C758F8"/>
    <w:rsid w:val="00C76B74"/>
    <w:rsid w:val="00C77B50"/>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EDA"/>
    <w:rsid w:val="00CA0DAE"/>
    <w:rsid w:val="00CA0E49"/>
    <w:rsid w:val="00CA1535"/>
    <w:rsid w:val="00CA5087"/>
    <w:rsid w:val="00CA58EE"/>
    <w:rsid w:val="00CA7EEF"/>
    <w:rsid w:val="00CB149E"/>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1B02"/>
    <w:rsid w:val="00CD3D23"/>
    <w:rsid w:val="00CD42E0"/>
    <w:rsid w:val="00CD5322"/>
    <w:rsid w:val="00CD5934"/>
    <w:rsid w:val="00CD5F3D"/>
    <w:rsid w:val="00CD61C8"/>
    <w:rsid w:val="00CD6B26"/>
    <w:rsid w:val="00CD6DAC"/>
    <w:rsid w:val="00CE0CAF"/>
    <w:rsid w:val="00CE237D"/>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953"/>
    <w:rsid w:val="00D003A5"/>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136"/>
    <w:rsid w:val="00D241D4"/>
    <w:rsid w:val="00D24A69"/>
    <w:rsid w:val="00D25520"/>
    <w:rsid w:val="00D27551"/>
    <w:rsid w:val="00D275A7"/>
    <w:rsid w:val="00D27824"/>
    <w:rsid w:val="00D3060F"/>
    <w:rsid w:val="00D31B8E"/>
    <w:rsid w:val="00D31FBC"/>
    <w:rsid w:val="00D33DB2"/>
    <w:rsid w:val="00D33DE7"/>
    <w:rsid w:val="00D34397"/>
    <w:rsid w:val="00D348BC"/>
    <w:rsid w:val="00D34C6E"/>
    <w:rsid w:val="00D377F6"/>
    <w:rsid w:val="00D405E6"/>
    <w:rsid w:val="00D43237"/>
    <w:rsid w:val="00D4323A"/>
    <w:rsid w:val="00D442ED"/>
    <w:rsid w:val="00D44C0E"/>
    <w:rsid w:val="00D455C9"/>
    <w:rsid w:val="00D46116"/>
    <w:rsid w:val="00D46297"/>
    <w:rsid w:val="00D4693D"/>
    <w:rsid w:val="00D46B07"/>
    <w:rsid w:val="00D47404"/>
    <w:rsid w:val="00D510DA"/>
    <w:rsid w:val="00D53EA1"/>
    <w:rsid w:val="00D53F8D"/>
    <w:rsid w:val="00D547E6"/>
    <w:rsid w:val="00D56EA7"/>
    <w:rsid w:val="00D57AD5"/>
    <w:rsid w:val="00D6003F"/>
    <w:rsid w:val="00D60275"/>
    <w:rsid w:val="00D6336C"/>
    <w:rsid w:val="00D637B2"/>
    <w:rsid w:val="00D6386F"/>
    <w:rsid w:val="00D6646B"/>
    <w:rsid w:val="00D66648"/>
    <w:rsid w:val="00D66DDD"/>
    <w:rsid w:val="00D67EB7"/>
    <w:rsid w:val="00D70367"/>
    <w:rsid w:val="00D7459F"/>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550"/>
    <w:rsid w:val="00DA7A9F"/>
    <w:rsid w:val="00DB02EB"/>
    <w:rsid w:val="00DB1960"/>
    <w:rsid w:val="00DB1E72"/>
    <w:rsid w:val="00DB2C4B"/>
    <w:rsid w:val="00DB2CAA"/>
    <w:rsid w:val="00DB4C6F"/>
    <w:rsid w:val="00DB61E7"/>
    <w:rsid w:val="00DB6C3C"/>
    <w:rsid w:val="00DC124D"/>
    <w:rsid w:val="00DC18A5"/>
    <w:rsid w:val="00DC1D8C"/>
    <w:rsid w:val="00DC231D"/>
    <w:rsid w:val="00DC24DC"/>
    <w:rsid w:val="00DC31BF"/>
    <w:rsid w:val="00DC33EF"/>
    <w:rsid w:val="00DC4911"/>
    <w:rsid w:val="00DC7CFF"/>
    <w:rsid w:val="00DC7EFD"/>
    <w:rsid w:val="00DD090B"/>
    <w:rsid w:val="00DD15AE"/>
    <w:rsid w:val="00DD15EE"/>
    <w:rsid w:val="00DD1E73"/>
    <w:rsid w:val="00DD292A"/>
    <w:rsid w:val="00DD3144"/>
    <w:rsid w:val="00DD35ED"/>
    <w:rsid w:val="00DD3B33"/>
    <w:rsid w:val="00DD4AEB"/>
    <w:rsid w:val="00DD5003"/>
    <w:rsid w:val="00DD694D"/>
    <w:rsid w:val="00DD72BD"/>
    <w:rsid w:val="00DD761B"/>
    <w:rsid w:val="00DE0079"/>
    <w:rsid w:val="00DE0517"/>
    <w:rsid w:val="00DE11DA"/>
    <w:rsid w:val="00DE294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AE1"/>
    <w:rsid w:val="00E24D9B"/>
    <w:rsid w:val="00E25259"/>
    <w:rsid w:val="00E2541A"/>
    <w:rsid w:val="00E25EAF"/>
    <w:rsid w:val="00E26760"/>
    <w:rsid w:val="00E321EB"/>
    <w:rsid w:val="00E32892"/>
    <w:rsid w:val="00E330BA"/>
    <w:rsid w:val="00E34DED"/>
    <w:rsid w:val="00E368E8"/>
    <w:rsid w:val="00E36ADE"/>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292"/>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86E"/>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69AE"/>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56C"/>
    <w:rsid w:val="00F36C5B"/>
    <w:rsid w:val="00F408F6"/>
    <w:rsid w:val="00F40E78"/>
    <w:rsid w:val="00F41680"/>
    <w:rsid w:val="00F41EE0"/>
    <w:rsid w:val="00F42C39"/>
    <w:rsid w:val="00F43B4F"/>
    <w:rsid w:val="00F511CC"/>
    <w:rsid w:val="00F51334"/>
    <w:rsid w:val="00F5203B"/>
    <w:rsid w:val="00F526AD"/>
    <w:rsid w:val="00F527B7"/>
    <w:rsid w:val="00F52E73"/>
    <w:rsid w:val="00F52F6F"/>
    <w:rsid w:val="00F53828"/>
    <w:rsid w:val="00F5517E"/>
    <w:rsid w:val="00F57069"/>
    <w:rsid w:val="00F60B38"/>
    <w:rsid w:val="00F6108E"/>
    <w:rsid w:val="00F61CB7"/>
    <w:rsid w:val="00F6292A"/>
    <w:rsid w:val="00F62C69"/>
    <w:rsid w:val="00F63214"/>
    <w:rsid w:val="00F632FB"/>
    <w:rsid w:val="00F63EEB"/>
    <w:rsid w:val="00F64C00"/>
    <w:rsid w:val="00F64DA9"/>
    <w:rsid w:val="00F65C81"/>
    <w:rsid w:val="00F65EE7"/>
    <w:rsid w:val="00F704D9"/>
    <w:rsid w:val="00F70A0D"/>
    <w:rsid w:val="00F73B7A"/>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4CAF"/>
    <w:rsid w:val="00FA6DED"/>
    <w:rsid w:val="00FA76DF"/>
    <w:rsid w:val="00FA78EA"/>
    <w:rsid w:val="00FB5A70"/>
    <w:rsid w:val="00FC0689"/>
    <w:rsid w:val="00FC101E"/>
    <w:rsid w:val="00FC13F0"/>
    <w:rsid w:val="00FC337B"/>
    <w:rsid w:val="00FC5AA7"/>
    <w:rsid w:val="00FC6E48"/>
    <w:rsid w:val="00FC7C96"/>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FD0"/>
    <w:rsid w:val="00FE6453"/>
    <w:rsid w:val="00FE66B1"/>
    <w:rsid w:val="00FE6775"/>
    <w:rsid w:val="00FE7713"/>
    <w:rsid w:val="00FE7C66"/>
    <w:rsid w:val="00FE7FA5"/>
    <w:rsid w:val="00FE94C6"/>
    <w:rsid w:val="00FF176A"/>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D9AF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3855AD"/>
    <w:rsid w:val="63A7DBC1"/>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11A2E7"/>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C3C41"/>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097658">
      <w:bodyDiv w:val="1"/>
      <w:marLeft w:val="0"/>
      <w:marRight w:val="0"/>
      <w:marTop w:val="0"/>
      <w:marBottom w:val="0"/>
      <w:divBdr>
        <w:top w:val="none" w:sz="0" w:space="0" w:color="auto"/>
        <w:left w:val="none" w:sz="0" w:space="0" w:color="auto"/>
        <w:bottom w:val="none" w:sz="0" w:space="0" w:color="auto"/>
        <w:right w:val="none" w:sz="0" w:space="0" w:color="auto"/>
      </w:divBdr>
    </w:div>
    <w:div w:id="131337136">
      <w:bodyDiv w:val="1"/>
      <w:marLeft w:val="0"/>
      <w:marRight w:val="0"/>
      <w:marTop w:val="0"/>
      <w:marBottom w:val="0"/>
      <w:divBdr>
        <w:top w:val="none" w:sz="0" w:space="0" w:color="auto"/>
        <w:left w:val="none" w:sz="0" w:space="0" w:color="auto"/>
        <w:bottom w:val="none" w:sz="0" w:space="0" w:color="auto"/>
        <w:right w:val="none" w:sz="0" w:space="0" w:color="auto"/>
      </w:divBdr>
    </w:div>
    <w:div w:id="519860512">
      <w:bodyDiv w:val="1"/>
      <w:marLeft w:val="0"/>
      <w:marRight w:val="0"/>
      <w:marTop w:val="0"/>
      <w:marBottom w:val="0"/>
      <w:divBdr>
        <w:top w:val="none" w:sz="0" w:space="0" w:color="auto"/>
        <w:left w:val="none" w:sz="0" w:space="0" w:color="auto"/>
        <w:bottom w:val="none" w:sz="0" w:space="0" w:color="auto"/>
        <w:right w:val="none" w:sz="0" w:space="0" w:color="auto"/>
      </w:divBdr>
    </w:div>
    <w:div w:id="53943559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0325643">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333211">
      <w:bodyDiv w:val="1"/>
      <w:marLeft w:val="0"/>
      <w:marRight w:val="0"/>
      <w:marTop w:val="0"/>
      <w:marBottom w:val="0"/>
      <w:divBdr>
        <w:top w:val="none" w:sz="0" w:space="0" w:color="auto"/>
        <w:left w:val="none" w:sz="0" w:space="0" w:color="auto"/>
        <w:bottom w:val="none" w:sz="0" w:space="0" w:color="auto"/>
        <w:right w:val="none" w:sz="0" w:space="0" w:color="auto"/>
      </w:divBdr>
    </w:div>
    <w:div w:id="815531792">
      <w:bodyDiv w:val="1"/>
      <w:marLeft w:val="0"/>
      <w:marRight w:val="0"/>
      <w:marTop w:val="0"/>
      <w:marBottom w:val="0"/>
      <w:divBdr>
        <w:top w:val="none" w:sz="0" w:space="0" w:color="auto"/>
        <w:left w:val="none" w:sz="0" w:space="0" w:color="auto"/>
        <w:bottom w:val="none" w:sz="0" w:space="0" w:color="auto"/>
        <w:right w:val="none" w:sz="0" w:space="0" w:color="auto"/>
      </w:divBdr>
    </w:div>
    <w:div w:id="819081745">
      <w:bodyDiv w:val="1"/>
      <w:marLeft w:val="0"/>
      <w:marRight w:val="0"/>
      <w:marTop w:val="0"/>
      <w:marBottom w:val="0"/>
      <w:divBdr>
        <w:top w:val="none" w:sz="0" w:space="0" w:color="auto"/>
        <w:left w:val="none" w:sz="0" w:space="0" w:color="auto"/>
        <w:bottom w:val="none" w:sz="0" w:space="0" w:color="auto"/>
        <w:right w:val="none" w:sz="0" w:space="0" w:color="auto"/>
      </w:divBdr>
      <w:divsChild>
        <w:div w:id="1484353422">
          <w:marLeft w:val="0"/>
          <w:marRight w:val="0"/>
          <w:marTop w:val="0"/>
          <w:marBottom w:val="0"/>
          <w:divBdr>
            <w:top w:val="none" w:sz="0" w:space="0" w:color="auto"/>
            <w:left w:val="none" w:sz="0" w:space="0" w:color="auto"/>
            <w:bottom w:val="none" w:sz="0" w:space="0" w:color="auto"/>
            <w:right w:val="none" w:sz="0" w:space="0" w:color="auto"/>
          </w:divBdr>
        </w:div>
      </w:divsChild>
    </w:div>
    <w:div w:id="1011762776">
      <w:bodyDiv w:val="1"/>
      <w:marLeft w:val="0"/>
      <w:marRight w:val="0"/>
      <w:marTop w:val="0"/>
      <w:marBottom w:val="0"/>
      <w:divBdr>
        <w:top w:val="none" w:sz="0" w:space="0" w:color="auto"/>
        <w:left w:val="none" w:sz="0" w:space="0" w:color="auto"/>
        <w:bottom w:val="none" w:sz="0" w:space="0" w:color="auto"/>
        <w:right w:val="none" w:sz="0" w:space="0" w:color="auto"/>
      </w:divBdr>
      <w:divsChild>
        <w:div w:id="244071398">
          <w:marLeft w:val="0"/>
          <w:marRight w:val="0"/>
          <w:marTop w:val="0"/>
          <w:marBottom w:val="0"/>
          <w:divBdr>
            <w:top w:val="none" w:sz="0" w:space="0" w:color="auto"/>
            <w:left w:val="none" w:sz="0" w:space="0" w:color="auto"/>
            <w:bottom w:val="none" w:sz="0" w:space="0" w:color="auto"/>
            <w:right w:val="none" w:sz="0" w:space="0" w:color="auto"/>
          </w:divBdr>
        </w:div>
      </w:divsChild>
    </w:div>
    <w:div w:id="1049842308">
      <w:bodyDiv w:val="1"/>
      <w:marLeft w:val="0"/>
      <w:marRight w:val="0"/>
      <w:marTop w:val="0"/>
      <w:marBottom w:val="0"/>
      <w:divBdr>
        <w:top w:val="none" w:sz="0" w:space="0" w:color="auto"/>
        <w:left w:val="none" w:sz="0" w:space="0" w:color="auto"/>
        <w:bottom w:val="none" w:sz="0" w:space="0" w:color="auto"/>
        <w:right w:val="none" w:sz="0" w:space="0" w:color="auto"/>
      </w:divBdr>
    </w:div>
    <w:div w:id="117441402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293516">
      <w:bodyDiv w:val="1"/>
      <w:marLeft w:val="0"/>
      <w:marRight w:val="0"/>
      <w:marTop w:val="0"/>
      <w:marBottom w:val="0"/>
      <w:divBdr>
        <w:top w:val="none" w:sz="0" w:space="0" w:color="auto"/>
        <w:left w:val="none" w:sz="0" w:space="0" w:color="auto"/>
        <w:bottom w:val="none" w:sz="0" w:space="0" w:color="auto"/>
        <w:right w:val="none" w:sz="0" w:space="0" w:color="auto"/>
      </w:divBdr>
    </w:div>
    <w:div w:id="157353937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21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infopath/2007/PartnerControls"/>
    <ds:schemaRef ds:uri="http://purl.org/dc/elements/1.1/"/>
    <ds:schemaRef ds:uri="http://schemas.openxmlformats.org/package/2006/metadata/core-properties"/>
    <ds:schemaRef ds:uri="http://www.w3.org/XML/1998/namespace"/>
    <ds:schemaRef ds:uri="http://purl.org/dc/dcmitype/"/>
    <ds:schemaRef ds:uri="http://schemas.microsoft.com/office/2006/documentManagement/types"/>
    <ds:schemaRef ds:uri="c3602c21-e7c0-460f-98aa-ced99acbd232"/>
    <ds:schemaRef ds:uri="http://schemas.microsoft.com/office/2006/metadata/properties"/>
    <ds:schemaRef ds:uri="http://purl.org/dc/terms/"/>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918BD4C6-DB7E-46E4-A1B6-3B6B2BD0873C}"/>
</file>

<file path=docProps/app.xml><?xml version="1.0" encoding="utf-8"?>
<Properties xmlns="http://schemas.openxmlformats.org/officeDocument/2006/extended-properties" xmlns:vt="http://schemas.openxmlformats.org/officeDocument/2006/docPropsVTypes">
  <Template>Normal</Template>
  <TotalTime>0</TotalTime>
  <Pages>115</Pages>
  <Words>23588</Words>
  <Characters>140585</Characters>
  <Application>Microsoft Office Word</Application>
  <DocSecurity>0</DocSecurity>
  <Lines>8786</Lines>
  <Paragraphs>4974</Paragraphs>
  <ScaleCrop>false</ScaleCrop>
  <Company/>
  <LinksUpToDate>false</LinksUpToDate>
  <CharactersWithSpaces>159199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147</cp:revision>
  <cp:lastPrinted>2025-03-21T00:14:00Z</cp:lastPrinted>
  <dcterms:created xsi:type="dcterms:W3CDTF">2025-06-19T08:56:00Z</dcterms:created>
  <dcterms:modified xsi:type="dcterms:W3CDTF">2025-07-29T17:07:00Z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